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85668" w14:textId="77777777" w:rsidR="006D430A" w:rsidRDefault="009E794D">
      <w:pPr>
        <w:jc w:val="center"/>
        <w:rPr>
          <w:b/>
          <w:szCs w:val="22"/>
        </w:rPr>
      </w:pPr>
      <w:r>
        <w:rPr>
          <w:b/>
          <w:szCs w:val="22"/>
        </w:rPr>
        <w:t>DOCKET NO</w:t>
      </w:r>
      <w:proofErr w:type="gramStart"/>
      <w:r>
        <w:rPr>
          <w:b/>
          <w:szCs w:val="22"/>
        </w:rPr>
        <w:t xml:space="preserve">. </w:t>
      </w:r>
      <w:proofErr w:type="gramEnd"/>
      <w:r>
        <w:rPr>
          <w:b/>
          <w:szCs w:val="22"/>
        </w:rPr>
        <w:t>52487</w:t>
      </w:r>
    </w:p>
    <w:p w14:paraId="16985669" w14:textId="77777777" w:rsidR="006D430A" w:rsidRDefault="006D430A">
      <w:pPr>
        <w:spacing w:line="240" w:lineRule="auto"/>
        <w:jc w:val="center"/>
        <w:rPr>
          <w:b/>
          <w:szCs w:val="22"/>
        </w:rPr>
      </w:pPr>
    </w:p>
    <w:tbl>
      <w:tblPr>
        <w:tblW w:w="9576" w:type="dxa"/>
        <w:tblLook w:val="00A0" w:firstRow="1" w:lastRow="0" w:firstColumn="1" w:lastColumn="0" w:noHBand="0" w:noVBand="0"/>
      </w:tblPr>
      <w:tblGrid>
        <w:gridCol w:w="4698"/>
        <w:gridCol w:w="450"/>
        <w:gridCol w:w="4428"/>
      </w:tblGrid>
      <w:tr w:rsidR="006D430A" w14:paraId="16985674" w14:textId="77777777">
        <w:trPr>
          <w:trHeight w:val="1773"/>
        </w:trPr>
        <w:tc>
          <w:tcPr>
            <w:tcW w:w="4698" w:type="dxa"/>
          </w:tcPr>
          <w:p w14:paraId="1698566A" w14:textId="77777777" w:rsidR="006D430A" w:rsidRDefault="009E794D">
            <w:pPr>
              <w:spacing w:line="240" w:lineRule="auto"/>
              <w:rPr>
                <w:b/>
                <w:szCs w:val="22"/>
              </w:rPr>
            </w:pPr>
            <w:r>
              <w:rPr>
                <w:b/>
                <w:szCs w:val="22"/>
              </w:rPr>
              <w:t>APPLICATION OF ENTERGY TEXAS, INC. TO AMEND ITS CERTIFICATE OF CONVENIENCE AND NECESSITY TO CONSTRUCT ORANGE COUNTY ADVANCED POWER STATION</w:t>
            </w:r>
          </w:p>
        </w:tc>
        <w:tc>
          <w:tcPr>
            <w:tcW w:w="450" w:type="dxa"/>
          </w:tcPr>
          <w:p w14:paraId="1698566B" w14:textId="77777777" w:rsidR="006D430A" w:rsidRDefault="009E794D">
            <w:pPr>
              <w:spacing w:line="240" w:lineRule="auto"/>
              <w:contextualSpacing/>
              <w:jc w:val="center"/>
              <w:rPr>
                <w:b/>
                <w:bCs/>
              </w:rPr>
            </w:pPr>
            <w:r>
              <w:rPr>
                <w:b/>
                <w:bCs/>
              </w:rPr>
              <w:t>§</w:t>
            </w:r>
          </w:p>
          <w:p w14:paraId="1698566C" w14:textId="77777777" w:rsidR="006D430A" w:rsidRDefault="009E794D">
            <w:pPr>
              <w:spacing w:line="240" w:lineRule="auto"/>
              <w:contextualSpacing/>
              <w:jc w:val="center"/>
              <w:rPr>
                <w:b/>
                <w:bCs/>
              </w:rPr>
            </w:pPr>
            <w:r>
              <w:rPr>
                <w:b/>
                <w:bCs/>
              </w:rPr>
              <w:t>§</w:t>
            </w:r>
          </w:p>
          <w:p w14:paraId="1698566D" w14:textId="77777777" w:rsidR="006D430A" w:rsidRDefault="009E794D">
            <w:pPr>
              <w:spacing w:line="240" w:lineRule="auto"/>
              <w:contextualSpacing/>
              <w:jc w:val="center"/>
              <w:rPr>
                <w:b/>
                <w:bCs/>
              </w:rPr>
            </w:pPr>
            <w:r>
              <w:rPr>
                <w:b/>
                <w:bCs/>
              </w:rPr>
              <w:t>§</w:t>
            </w:r>
          </w:p>
          <w:p w14:paraId="1698566E" w14:textId="77777777" w:rsidR="006D430A" w:rsidRDefault="009E794D">
            <w:pPr>
              <w:spacing w:line="240" w:lineRule="auto"/>
              <w:contextualSpacing/>
              <w:jc w:val="center"/>
              <w:rPr>
                <w:b/>
                <w:bCs/>
              </w:rPr>
            </w:pPr>
            <w:r>
              <w:rPr>
                <w:b/>
                <w:bCs/>
              </w:rPr>
              <w:t>§</w:t>
            </w:r>
          </w:p>
          <w:p w14:paraId="1698566F" w14:textId="77777777" w:rsidR="006D430A" w:rsidRDefault="009E794D">
            <w:pPr>
              <w:spacing w:line="240" w:lineRule="auto"/>
              <w:rPr>
                <w:b/>
                <w:szCs w:val="22"/>
              </w:rPr>
            </w:pPr>
            <w:r>
              <w:rPr>
                <w:b/>
                <w:bCs/>
              </w:rPr>
              <w:t xml:space="preserve"> §</w:t>
            </w:r>
          </w:p>
        </w:tc>
        <w:tc>
          <w:tcPr>
            <w:tcW w:w="4428" w:type="dxa"/>
          </w:tcPr>
          <w:p w14:paraId="16985670" w14:textId="77777777" w:rsidR="006D430A" w:rsidRDefault="006D430A">
            <w:pPr>
              <w:spacing w:line="240" w:lineRule="auto"/>
              <w:jc w:val="center"/>
              <w:rPr>
                <w:b/>
                <w:bCs/>
                <w:szCs w:val="22"/>
              </w:rPr>
            </w:pPr>
          </w:p>
          <w:p w14:paraId="16985671" w14:textId="77777777" w:rsidR="006D430A" w:rsidRDefault="009E794D">
            <w:pPr>
              <w:spacing w:line="240" w:lineRule="auto"/>
              <w:jc w:val="center"/>
              <w:rPr>
                <w:b/>
                <w:bCs/>
                <w:szCs w:val="22"/>
              </w:rPr>
            </w:pPr>
            <w:r>
              <w:rPr>
                <w:b/>
                <w:bCs/>
                <w:szCs w:val="22"/>
              </w:rPr>
              <w:t>PUBLIC UTILITY COMMISSION</w:t>
            </w:r>
          </w:p>
          <w:p w14:paraId="16985672" w14:textId="77777777" w:rsidR="006D430A" w:rsidRDefault="006D430A">
            <w:pPr>
              <w:spacing w:line="240" w:lineRule="auto"/>
              <w:jc w:val="center"/>
              <w:rPr>
                <w:b/>
                <w:bCs/>
                <w:szCs w:val="22"/>
              </w:rPr>
            </w:pPr>
          </w:p>
          <w:p w14:paraId="16985673" w14:textId="77777777" w:rsidR="006D430A" w:rsidRDefault="009E794D">
            <w:pPr>
              <w:spacing w:line="240" w:lineRule="auto"/>
              <w:jc w:val="center"/>
              <w:rPr>
                <w:b/>
                <w:szCs w:val="22"/>
              </w:rPr>
            </w:pPr>
            <w:r>
              <w:rPr>
                <w:b/>
                <w:bCs/>
                <w:szCs w:val="22"/>
              </w:rPr>
              <w:t>OF TEXAS</w:t>
            </w:r>
          </w:p>
        </w:tc>
      </w:tr>
    </w:tbl>
    <w:p w14:paraId="16985675" w14:textId="77777777" w:rsidR="006D430A" w:rsidRDefault="006D430A">
      <w:pPr>
        <w:jc w:val="center"/>
        <w:rPr>
          <w:rFonts w:eastAsia="Times New Roman"/>
          <w:b/>
          <w:szCs w:val="24"/>
        </w:rPr>
      </w:pPr>
    </w:p>
    <w:p w14:paraId="16985676" w14:textId="77777777" w:rsidR="006D430A" w:rsidRDefault="006D430A">
      <w:pPr>
        <w:jc w:val="center"/>
        <w:rPr>
          <w:rFonts w:eastAsia="Times New Roman"/>
          <w:b/>
          <w:szCs w:val="24"/>
        </w:rPr>
      </w:pPr>
    </w:p>
    <w:p w14:paraId="16985677" w14:textId="77777777" w:rsidR="006D430A" w:rsidRDefault="006D430A">
      <w:pPr>
        <w:jc w:val="center"/>
        <w:rPr>
          <w:rFonts w:eastAsia="Times New Roman"/>
          <w:b/>
          <w:szCs w:val="24"/>
        </w:rPr>
      </w:pPr>
    </w:p>
    <w:p w14:paraId="16985678" w14:textId="77777777" w:rsidR="006D430A" w:rsidRDefault="006D430A">
      <w:pPr>
        <w:jc w:val="center"/>
        <w:outlineLvl w:val="3"/>
        <w:rPr>
          <w:rFonts w:eastAsia="Times New Roman"/>
          <w:b/>
          <w:szCs w:val="24"/>
        </w:rPr>
      </w:pPr>
    </w:p>
    <w:p w14:paraId="16985679" w14:textId="77777777" w:rsidR="006D430A" w:rsidRDefault="009E794D">
      <w:pPr>
        <w:jc w:val="center"/>
        <w:rPr>
          <w:rFonts w:eastAsia="Times New Roman"/>
          <w:b/>
          <w:szCs w:val="24"/>
        </w:rPr>
      </w:pPr>
      <w:r>
        <w:rPr>
          <w:rFonts w:eastAsia="Times New Roman"/>
          <w:b/>
          <w:szCs w:val="24"/>
        </w:rPr>
        <w:t>DIRECT TESTIMONY</w:t>
      </w:r>
    </w:p>
    <w:p w14:paraId="1698567A" w14:textId="77777777" w:rsidR="006D430A" w:rsidRDefault="009E794D">
      <w:pPr>
        <w:jc w:val="center"/>
        <w:rPr>
          <w:rFonts w:eastAsia="Times New Roman"/>
          <w:b/>
          <w:szCs w:val="24"/>
        </w:rPr>
      </w:pPr>
      <w:r>
        <w:rPr>
          <w:rFonts w:eastAsia="Times New Roman"/>
          <w:b/>
          <w:szCs w:val="24"/>
        </w:rPr>
        <w:t>OF</w:t>
      </w:r>
    </w:p>
    <w:p w14:paraId="1698567B" w14:textId="77777777" w:rsidR="006D430A" w:rsidRDefault="009E794D">
      <w:pPr>
        <w:jc w:val="center"/>
        <w:rPr>
          <w:rFonts w:eastAsia="Times New Roman"/>
          <w:b/>
          <w:szCs w:val="24"/>
        </w:rPr>
      </w:pPr>
      <w:r>
        <w:rPr>
          <w:rFonts w:eastAsia="Times New Roman"/>
          <w:b/>
          <w:szCs w:val="24"/>
        </w:rPr>
        <w:t>CARLOS RUIZ</w:t>
      </w:r>
    </w:p>
    <w:p w14:paraId="1698567C" w14:textId="77777777" w:rsidR="006D430A" w:rsidRDefault="006D430A">
      <w:pPr>
        <w:jc w:val="center"/>
        <w:rPr>
          <w:rFonts w:eastAsia="Times New Roman"/>
          <w:b/>
          <w:szCs w:val="24"/>
        </w:rPr>
      </w:pPr>
    </w:p>
    <w:p w14:paraId="1698567D" w14:textId="77777777" w:rsidR="006D430A" w:rsidRDefault="009E794D">
      <w:pPr>
        <w:jc w:val="center"/>
        <w:rPr>
          <w:rFonts w:eastAsia="Times New Roman"/>
          <w:b/>
          <w:szCs w:val="24"/>
        </w:rPr>
      </w:pPr>
      <w:r>
        <w:rPr>
          <w:rFonts w:eastAsia="Times New Roman"/>
          <w:b/>
          <w:szCs w:val="24"/>
        </w:rPr>
        <w:t>ON BEHALF OF</w:t>
      </w:r>
    </w:p>
    <w:p w14:paraId="1698567E" w14:textId="77777777" w:rsidR="006D430A" w:rsidRDefault="009E794D">
      <w:pPr>
        <w:jc w:val="center"/>
        <w:rPr>
          <w:rFonts w:eastAsia="Times New Roman"/>
          <w:b/>
          <w:szCs w:val="24"/>
        </w:rPr>
      </w:pPr>
      <w:r>
        <w:rPr>
          <w:rFonts w:eastAsia="Times New Roman"/>
          <w:b/>
          <w:szCs w:val="24"/>
        </w:rPr>
        <w:t xml:space="preserve">ENTERGY TEXAS, INC. </w:t>
      </w:r>
    </w:p>
    <w:p w14:paraId="1698567F" w14:textId="77777777" w:rsidR="006D430A" w:rsidRDefault="006D430A">
      <w:pPr>
        <w:jc w:val="center"/>
        <w:rPr>
          <w:rFonts w:eastAsia="Times New Roman"/>
          <w:b/>
          <w:szCs w:val="24"/>
        </w:rPr>
      </w:pPr>
    </w:p>
    <w:p w14:paraId="16985680" w14:textId="59A8AFB8" w:rsidR="006D430A" w:rsidRDefault="00221F70">
      <w:pPr>
        <w:jc w:val="center"/>
        <w:rPr>
          <w:rFonts w:eastAsia="Times New Roman"/>
          <w:b/>
        </w:rPr>
      </w:pPr>
      <w:r>
        <w:rPr>
          <w:rFonts w:eastAsia="Times New Roman"/>
          <w:b/>
        </w:rPr>
        <w:t>PUBLIC REDACTED</w:t>
      </w:r>
    </w:p>
    <w:p w14:paraId="16985681" w14:textId="744D5984" w:rsidR="006D430A" w:rsidRDefault="006D430A">
      <w:pPr>
        <w:jc w:val="center"/>
        <w:rPr>
          <w:rFonts w:eastAsia="Times New Roman"/>
          <w:b/>
          <w:szCs w:val="24"/>
        </w:rPr>
      </w:pPr>
    </w:p>
    <w:p w14:paraId="16985682" w14:textId="77777777" w:rsidR="006D430A" w:rsidRDefault="006D430A">
      <w:pPr>
        <w:jc w:val="center"/>
        <w:rPr>
          <w:rFonts w:eastAsia="Times New Roman"/>
          <w:b/>
          <w:szCs w:val="24"/>
        </w:rPr>
      </w:pPr>
    </w:p>
    <w:p w14:paraId="16985683" w14:textId="77777777" w:rsidR="006D430A" w:rsidRDefault="006D430A">
      <w:pPr>
        <w:jc w:val="center"/>
        <w:rPr>
          <w:rFonts w:eastAsia="Times New Roman"/>
          <w:b/>
          <w:szCs w:val="24"/>
        </w:rPr>
      </w:pPr>
    </w:p>
    <w:p w14:paraId="16985684" w14:textId="77777777" w:rsidR="006D430A" w:rsidRDefault="006D430A">
      <w:pPr>
        <w:jc w:val="center"/>
        <w:rPr>
          <w:rFonts w:eastAsia="Times New Roman"/>
          <w:b/>
          <w:szCs w:val="24"/>
        </w:rPr>
      </w:pPr>
    </w:p>
    <w:p w14:paraId="16985685" w14:textId="77777777" w:rsidR="006D430A" w:rsidRDefault="006D430A">
      <w:pPr>
        <w:jc w:val="center"/>
        <w:rPr>
          <w:rFonts w:eastAsia="Times New Roman"/>
          <w:b/>
          <w:szCs w:val="24"/>
        </w:rPr>
      </w:pPr>
    </w:p>
    <w:p w14:paraId="16985686" w14:textId="77777777" w:rsidR="006D430A" w:rsidRDefault="009E794D">
      <w:pPr>
        <w:jc w:val="center"/>
        <w:rPr>
          <w:rFonts w:eastAsia="Times New Roman"/>
          <w:b/>
          <w:szCs w:val="24"/>
        </w:rPr>
      </w:pPr>
      <w:r>
        <w:rPr>
          <w:rFonts w:eastAsia="Times New Roman"/>
          <w:b/>
          <w:szCs w:val="24"/>
        </w:rPr>
        <w:t>SEPTEMBER 2021</w:t>
      </w:r>
    </w:p>
    <w:p w14:paraId="16985687" w14:textId="77777777" w:rsidR="006D430A" w:rsidRDefault="006D430A">
      <w:pPr>
        <w:spacing w:line="240" w:lineRule="auto"/>
        <w:jc w:val="center"/>
        <w:rPr>
          <w:rFonts w:eastAsia="Times New Roman"/>
          <w:b/>
          <w:szCs w:val="24"/>
        </w:rPr>
        <w:sectPr w:rsidR="006D430A">
          <w:footerReference w:type="even" r:id="rId8"/>
          <w:pgSz w:w="12240" w:h="15840"/>
          <w:pgMar w:top="1440" w:right="1440" w:bottom="1440" w:left="1440" w:header="720" w:footer="720" w:gutter="0"/>
          <w:cols w:space="720"/>
          <w:titlePg/>
          <w:docGrid w:linePitch="360"/>
        </w:sectPr>
      </w:pPr>
    </w:p>
    <w:p w14:paraId="16985688" w14:textId="77777777" w:rsidR="006D430A" w:rsidRDefault="009E794D">
      <w:pPr>
        <w:spacing w:line="240" w:lineRule="auto"/>
        <w:jc w:val="center"/>
        <w:rPr>
          <w:rFonts w:eastAsia="Times New Roman"/>
          <w:b/>
          <w:szCs w:val="24"/>
        </w:rPr>
      </w:pPr>
      <w:r>
        <w:rPr>
          <w:rFonts w:eastAsia="Times New Roman"/>
          <w:b/>
          <w:szCs w:val="24"/>
        </w:rPr>
        <w:lastRenderedPageBreak/>
        <w:t>ENTERGY TEXAS, INC.</w:t>
      </w:r>
    </w:p>
    <w:p w14:paraId="16985689" w14:textId="77777777" w:rsidR="006D430A" w:rsidRDefault="009E794D">
      <w:pPr>
        <w:spacing w:line="240" w:lineRule="auto"/>
        <w:jc w:val="center"/>
        <w:rPr>
          <w:rFonts w:eastAsia="Times New Roman"/>
          <w:b/>
          <w:szCs w:val="24"/>
        </w:rPr>
      </w:pPr>
      <w:r>
        <w:rPr>
          <w:rFonts w:eastAsia="Times New Roman"/>
          <w:b/>
          <w:szCs w:val="24"/>
        </w:rPr>
        <w:t>DIRECT TESTIMONY OF CARLOS RUIZ</w:t>
      </w:r>
    </w:p>
    <w:p w14:paraId="1698568A" w14:textId="77777777" w:rsidR="006D430A" w:rsidRDefault="009E794D">
      <w:pPr>
        <w:spacing w:line="240" w:lineRule="auto"/>
        <w:jc w:val="center"/>
        <w:rPr>
          <w:rFonts w:eastAsia="Times New Roman"/>
          <w:b/>
          <w:szCs w:val="24"/>
        </w:rPr>
      </w:pPr>
      <w:r>
        <w:rPr>
          <w:rFonts w:eastAsia="Times New Roman"/>
          <w:b/>
          <w:szCs w:val="24"/>
        </w:rPr>
        <w:t>DOCKET NO</w:t>
      </w:r>
      <w:proofErr w:type="gramStart"/>
      <w:r>
        <w:rPr>
          <w:rFonts w:eastAsia="Times New Roman"/>
          <w:b/>
          <w:szCs w:val="24"/>
        </w:rPr>
        <w:t xml:space="preserve">. </w:t>
      </w:r>
      <w:proofErr w:type="gramEnd"/>
      <w:r>
        <w:rPr>
          <w:rFonts w:eastAsia="Times New Roman"/>
          <w:b/>
          <w:szCs w:val="24"/>
        </w:rPr>
        <w:t>52487</w:t>
      </w:r>
    </w:p>
    <w:p w14:paraId="1698568B" w14:textId="77777777" w:rsidR="006D430A" w:rsidRDefault="006D430A">
      <w:pPr>
        <w:spacing w:line="240" w:lineRule="auto"/>
        <w:jc w:val="center"/>
        <w:rPr>
          <w:rFonts w:eastAsia="Times New Roman"/>
          <w:b/>
          <w:szCs w:val="24"/>
          <w:u w:val="single"/>
        </w:rPr>
      </w:pPr>
    </w:p>
    <w:p w14:paraId="1698568C" w14:textId="77777777" w:rsidR="006D430A" w:rsidRDefault="006D430A">
      <w:pPr>
        <w:spacing w:line="240" w:lineRule="auto"/>
        <w:jc w:val="center"/>
        <w:rPr>
          <w:rFonts w:eastAsia="Times New Roman"/>
          <w:b/>
          <w:szCs w:val="24"/>
          <w:u w:val="single"/>
        </w:rPr>
      </w:pPr>
    </w:p>
    <w:p w14:paraId="1698568D" w14:textId="77777777" w:rsidR="006D430A" w:rsidRDefault="009E794D">
      <w:pPr>
        <w:spacing w:line="240" w:lineRule="auto"/>
        <w:jc w:val="center"/>
        <w:rPr>
          <w:rFonts w:eastAsia="Times New Roman"/>
          <w:b/>
          <w:szCs w:val="24"/>
          <w:u w:val="single"/>
        </w:rPr>
      </w:pPr>
      <w:r>
        <w:rPr>
          <w:rFonts w:eastAsia="Times New Roman"/>
          <w:b/>
          <w:szCs w:val="24"/>
          <w:u w:val="single"/>
        </w:rPr>
        <w:t>TABLE OF CONTENTS</w:t>
      </w:r>
    </w:p>
    <w:p w14:paraId="1698568E" w14:textId="77777777" w:rsidR="006D430A" w:rsidRDefault="006D430A">
      <w:pPr>
        <w:spacing w:line="240" w:lineRule="auto"/>
        <w:jc w:val="center"/>
        <w:rPr>
          <w:rFonts w:eastAsia="Times New Roman"/>
          <w:b/>
          <w:szCs w:val="24"/>
          <w:u w:val="single"/>
        </w:rPr>
      </w:pPr>
    </w:p>
    <w:p w14:paraId="1698568F" w14:textId="77777777" w:rsidR="006D430A" w:rsidRDefault="009E794D">
      <w:pPr>
        <w:spacing w:line="240" w:lineRule="auto"/>
        <w:jc w:val="right"/>
        <w:rPr>
          <w:rFonts w:eastAsia="Times New Roman"/>
          <w:szCs w:val="24"/>
          <w:u w:val="single"/>
        </w:rPr>
      </w:pPr>
      <w:r>
        <w:rPr>
          <w:rFonts w:eastAsia="Times New Roman"/>
          <w:szCs w:val="24"/>
          <w:u w:val="single"/>
        </w:rPr>
        <w:t>Page</w:t>
      </w:r>
    </w:p>
    <w:p w14:paraId="16985690" w14:textId="77777777" w:rsidR="006D430A" w:rsidRDefault="006D430A">
      <w:pPr>
        <w:spacing w:line="240" w:lineRule="auto"/>
        <w:jc w:val="both"/>
        <w:rPr>
          <w:rFonts w:eastAsia="Times New Roman"/>
          <w:szCs w:val="24"/>
        </w:rPr>
      </w:pPr>
    </w:p>
    <w:p w14:paraId="1D1C4499" w14:textId="6E95EB28" w:rsidR="00113217" w:rsidRDefault="009E794D">
      <w:pPr>
        <w:pStyle w:val="TOC1"/>
        <w:rPr>
          <w:rFonts w:asciiTheme="minorHAnsi" w:eastAsiaTheme="minorEastAsia" w:hAnsiTheme="minorHAnsi" w:cstheme="minorBidi"/>
          <w:sz w:val="22"/>
          <w:szCs w:val="22"/>
        </w:rPr>
      </w:pPr>
      <w:r>
        <w:fldChar w:fldCharType="begin"/>
      </w:r>
      <w:r>
        <w:instrText xml:space="preserve"> TOC \o "1-3" \u </w:instrText>
      </w:r>
      <w:r>
        <w:fldChar w:fldCharType="separate"/>
      </w:r>
      <w:r w:rsidR="00113217" w:rsidRPr="006E65AE">
        <w:t>I.</w:t>
      </w:r>
      <w:r w:rsidR="00113217">
        <w:rPr>
          <w:rFonts w:asciiTheme="minorHAnsi" w:eastAsiaTheme="minorEastAsia" w:hAnsiTheme="minorHAnsi" w:cstheme="minorBidi"/>
          <w:sz w:val="22"/>
          <w:szCs w:val="22"/>
        </w:rPr>
        <w:tab/>
      </w:r>
      <w:r w:rsidR="00113217">
        <w:t>Introduction and Purpose</w:t>
      </w:r>
      <w:r w:rsidR="00113217">
        <w:tab/>
      </w:r>
      <w:r w:rsidR="00113217">
        <w:fldChar w:fldCharType="begin"/>
      </w:r>
      <w:r w:rsidR="00113217">
        <w:instrText xml:space="preserve"> PAGEREF _Toc82444598 \h </w:instrText>
      </w:r>
      <w:r w:rsidR="00113217">
        <w:fldChar w:fldCharType="separate"/>
      </w:r>
      <w:r w:rsidR="00113217">
        <w:t>1</w:t>
      </w:r>
      <w:r w:rsidR="00113217">
        <w:fldChar w:fldCharType="end"/>
      </w:r>
    </w:p>
    <w:p w14:paraId="60806311" w14:textId="41E83C6A" w:rsidR="00113217" w:rsidRDefault="00113217">
      <w:pPr>
        <w:pStyle w:val="TOC2"/>
        <w:tabs>
          <w:tab w:val="left" w:pos="1440"/>
        </w:tabs>
        <w:rPr>
          <w:rFonts w:asciiTheme="minorHAnsi" w:eastAsiaTheme="minorEastAsia" w:hAnsiTheme="minorHAnsi" w:cstheme="minorBidi"/>
          <w:noProof/>
          <w:sz w:val="22"/>
          <w:szCs w:val="22"/>
        </w:rPr>
      </w:pPr>
      <w:r>
        <w:rPr>
          <w:noProof/>
        </w:rPr>
        <w:t>A.</w:t>
      </w:r>
      <w:r>
        <w:rPr>
          <w:rFonts w:asciiTheme="minorHAnsi" w:eastAsiaTheme="minorEastAsia" w:hAnsiTheme="minorHAnsi" w:cstheme="minorBidi"/>
          <w:noProof/>
          <w:sz w:val="22"/>
          <w:szCs w:val="22"/>
        </w:rPr>
        <w:tab/>
      </w:r>
      <w:r>
        <w:rPr>
          <w:noProof/>
        </w:rPr>
        <w:t>Qualifications</w:t>
      </w:r>
      <w:r>
        <w:rPr>
          <w:noProof/>
        </w:rPr>
        <w:tab/>
      </w:r>
      <w:r>
        <w:rPr>
          <w:noProof/>
        </w:rPr>
        <w:fldChar w:fldCharType="begin"/>
      </w:r>
      <w:r>
        <w:rPr>
          <w:noProof/>
        </w:rPr>
        <w:instrText xml:space="preserve"> PAGEREF _Toc82444599 \h </w:instrText>
      </w:r>
      <w:r>
        <w:rPr>
          <w:noProof/>
        </w:rPr>
      </w:r>
      <w:r>
        <w:rPr>
          <w:noProof/>
        </w:rPr>
        <w:fldChar w:fldCharType="separate"/>
      </w:r>
      <w:r>
        <w:rPr>
          <w:noProof/>
        </w:rPr>
        <w:t>1</w:t>
      </w:r>
      <w:r>
        <w:rPr>
          <w:noProof/>
        </w:rPr>
        <w:fldChar w:fldCharType="end"/>
      </w:r>
    </w:p>
    <w:p w14:paraId="386579F0" w14:textId="0ED1520B" w:rsidR="00113217" w:rsidRDefault="00113217">
      <w:pPr>
        <w:pStyle w:val="TOC2"/>
        <w:tabs>
          <w:tab w:val="left" w:pos="1440"/>
        </w:tabs>
        <w:rPr>
          <w:rFonts w:asciiTheme="minorHAnsi" w:eastAsiaTheme="minorEastAsia" w:hAnsiTheme="minorHAnsi" w:cstheme="minorBidi"/>
          <w:noProof/>
          <w:sz w:val="22"/>
          <w:szCs w:val="22"/>
        </w:rPr>
      </w:pPr>
      <w:r>
        <w:rPr>
          <w:noProof/>
        </w:rPr>
        <w:t>B.</w:t>
      </w:r>
      <w:r>
        <w:rPr>
          <w:rFonts w:asciiTheme="minorHAnsi" w:eastAsiaTheme="minorEastAsia" w:hAnsiTheme="minorHAnsi" w:cstheme="minorBidi"/>
          <w:noProof/>
          <w:sz w:val="22"/>
          <w:szCs w:val="22"/>
        </w:rPr>
        <w:tab/>
      </w:r>
      <w:r>
        <w:rPr>
          <w:noProof/>
        </w:rPr>
        <w:t>Purpose of Testimony</w:t>
      </w:r>
      <w:r>
        <w:rPr>
          <w:noProof/>
        </w:rPr>
        <w:tab/>
      </w:r>
      <w:r>
        <w:rPr>
          <w:noProof/>
        </w:rPr>
        <w:fldChar w:fldCharType="begin"/>
      </w:r>
      <w:r>
        <w:rPr>
          <w:noProof/>
        </w:rPr>
        <w:instrText xml:space="preserve"> PAGEREF _Toc82444600 \h </w:instrText>
      </w:r>
      <w:r>
        <w:rPr>
          <w:noProof/>
        </w:rPr>
      </w:r>
      <w:r>
        <w:rPr>
          <w:noProof/>
        </w:rPr>
        <w:fldChar w:fldCharType="separate"/>
      </w:r>
      <w:r>
        <w:rPr>
          <w:noProof/>
        </w:rPr>
        <w:t>3</w:t>
      </w:r>
      <w:r>
        <w:rPr>
          <w:noProof/>
        </w:rPr>
        <w:fldChar w:fldCharType="end"/>
      </w:r>
    </w:p>
    <w:p w14:paraId="2803C235" w14:textId="4BE9E23E" w:rsidR="00113217" w:rsidRDefault="00113217">
      <w:pPr>
        <w:pStyle w:val="TOC1"/>
        <w:rPr>
          <w:rFonts w:asciiTheme="minorHAnsi" w:eastAsiaTheme="minorEastAsia" w:hAnsiTheme="minorHAnsi" w:cstheme="minorBidi"/>
          <w:sz w:val="22"/>
          <w:szCs w:val="22"/>
        </w:rPr>
      </w:pPr>
      <w:r w:rsidRPr="006E65AE">
        <w:t>II.</w:t>
      </w:r>
      <w:r>
        <w:rPr>
          <w:rFonts w:asciiTheme="minorHAnsi" w:eastAsiaTheme="minorEastAsia" w:hAnsiTheme="minorHAnsi" w:cstheme="minorBidi"/>
          <w:sz w:val="22"/>
          <w:szCs w:val="22"/>
        </w:rPr>
        <w:tab/>
      </w:r>
      <w:r>
        <w:t>Project Overview</w:t>
      </w:r>
      <w:r>
        <w:tab/>
      </w:r>
      <w:r>
        <w:fldChar w:fldCharType="begin"/>
      </w:r>
      <w:r>
        <w:instrText xml:space="preserve"> PAGEREF _Toc82444601 \h </w:instrText>
      </w:r>
      <w:r>
        <w:fldChar w:fldCharType="separate"/>
      </w:r>
      <w:r>
        <w:t>4</w:t>
      </w:r>
      <w:r>
        <w:fldChar w:fldCharType="end"/>
      </w:r>
    </w:p>
    <w:p w14:paraId="333E32D0" w14:textId="0CC807A6" w:rsidR="00113217" w:rsidRDefault="00113217">
      <w:pPr>
        <w:pStyle w:val="TOC1"/>
        <w:rPr>
          <w:rFonts w:asciiTheme="minorHAnsi" w:eastAsiaTheme="minorEastAsia" w:hAnsiTheme="minorHAnsi" w:cstheme="minorBidi"/>
          <w:sz w:val="22"/>
          <w:szCs w:val="22"/>
        </w:rPr>
      </w:pPr>
      <w:r w:rsidRPr="006E65AE">
        <w:t>III.</w:t>
      </w:r>
      <w:r>
        <w:rPr>
          <w:rFonts w:asciiTheme="minorHAnsi" w:eastAsiaTheme="minorEastAsia" w:hAnsiTheme="minorHAnsi" w:cstheme="minorBidi"/>
          <w:sz w:val="22"/>
          <w:szCs w:val="22"/>
        </w:rPr>
        <w:tab/>
      </w:r>
      <w:r>
        <w:t>Submission of OCAPS into the 2020 ETI RFP for Market Testing</w:t>
      </w:r>
      <w:r>
        <w:tab/>
      </w:r>
      <w:r>
        <w:fldChar w:fldCharType="begin"/>
      </w:r>
      <w:r>
        <w:instrText xml:space="preserve"> PAGEREF _Toc82444602 \h </w:instrText>
      </w:r>
      <w:r>
        <w:fldChar w:fldCharType="separate"/>
      </w:r>
      <w:r>
        <w:t>10</w:t>
      </w:r>
      <w:r>
        <w:fldChar w:fldCharType="end"/>
      </w:r>
    </w:p>
    <w:p w14:paraId="74301AF1" w14:textId="766988AF" w:rsidR="00113217" w:rsidRDefault="00113217">
      <w:pPr>
        <w:pStyle w:val="TOC1"/>
        <w:rPr>
          <w:rFonts w:asciiTheme="minorHAnsi" w:eastAsiaTheme="minorEastAsia" w:hAnsiTheme="minorHAnsi" w:cstheme="minorBidi"/>
          <w:sz w:val="22"/>
          <w:szCs w:val="22"/>
        </w:rPr>
      </w:pPr>
      <w:r w:rsidRPr="006E65AE">
        <w:t>IV.</w:t>
      </w:r>
      <w:r>
        <w:rPr>
          <w:rFonts w:asciiTheme="minorHAnsi" w:eastAsiaTheme="minorEastAsia" w:hAnsiTheme="minorHAnsi" w:cstheme="minorBidi"/>
          <w:sz w:val="22"/>
          <w:szCs w:val="22"/>
        </w:rPr>
        <w:tab/>
      </w:r>
      <w:r>
        <w:t>Estimated Project Cost and Schedule</w:t>
      </w:r>
      <w:r>
        <w:tab/>
      </w:r>
      <w:r>
        <w:fldChar w:fldCharType="begin"/>
      </w:r>
      <w:r>
        <w:instrText xml:space="preserve"> PAGEREF _Toc82444603 \h </w:instrText>
      </w:r>
      <w:r>
        <w:fldChar w:fldCharType="separate"/>
      </w:r>
      <w:r>
        <w:t>15</w:t>
      </w:r>
      <w:r>
        <w:fldChar w:fldCharType="end"/>
      </w:r>
    </w:p>
    <w:p w14:paraId="74869765" w14:textId="355F252C" w:rsidR="00113217" w:rsidRDefault="00113217">
      <w:pPr>
        <w:pStyle w:val="TOC1"/>
        <w:rPr>
          <w:rFonts w:asciiTheme="minorHAnsi" w:eastAsiaTheme="minorEastAsia" w:hAnsiTheme="minorHAnsi" w:cstheme="minorBidi"/>
          <w:sz w:val="22"/>
          <w:szCs w:val="22"/>
        </w:rPr>
      </w:pPr>
      <w:r w:rsidRPr="006E65AE">
        <w:t>V.</w:t>
      </w:r>
      <w:r>
        <w:rPr>
          <w:rFonts w:asciiTheme="minorHAnsi" w:eastAsiaTheme="minorEastAsia" w:hAnsiTheme="minorHAnsi" w:cstheme="minorBidi"/>
          <w:sz w:val="22"/>
          <w:szCs w:val="22"/>
        </w:rPr>
        <w:tab/>
      </w:r>
      <w:r>
        <w:t>Estimated Non-Fuel O&amp;M Costs</w:t>
      </w:r>
      <w:r>
        <w:tab/>
      </w:r>
      <w:r>
        <w:fldChar w:fldCharType="begin"/>
      </w:r>
      <w:r>
        <w:instrText xml:space="preserve"> PAGEREF _Toc82444604 \h </w:instrText>
      </w:r>
      <w:r>
        <w:fldChar w:fldCharType="separate"/>
      </w:r>
      <w:r>
        <w:t>23</w:t>
      </w:r>
      <w:r>
        <w:fldChar w:fldCharType="end"/>
      </w:r>
    </w:p>
    <w:p w14:paraId="6A6AE3AB" w14:textId="3DAD0774" w:rsidR="00113217" w:rsidRDefault="00113217">
      <w:pPr>
        <w:pStyle w:val="TOC1"/>
        <w:rPr>
          <w:rFonts w:asciiTheme="minorHAnsi" w:eastAsiaTheme="minorEastAsia" w:hAnsiTheme="minorHAnsi" w:cstheme="minorBidi"/>
          <w:sz w:val="22"/>
          <w:szCs w:val="22"/>
        </w:rPr>
      </w:pPr>
      <w:r w:rsidRPr="006E65AE">
        <w:t>VI.</w:t>
      </w:r>
      <w:r>
        <w:rPr>
          <w:rFonts w:asciiTheme="minorHAnsi" w:eastAsiaTheme="minorEastAsia" w:hAnsiTheme="minorHAnsi" w:cstheme="minorBidi"/>
          <w:sz w:val="22"/>
          <w:szCs w:val="22"/>
        </w:rPr>
        <w:tab/>
      </w:r>
      <w:r>
        <w:t>Project Management and Contracting Approach</w:t>
      </w:r>
      <w:r>
        <w:tab/>
      </w:r>
      <w:r>
        <w:fldChar w:fldCharType="begin"/>
      </w:r>
      <w:r>
        <w:instrText xml:space="preserve"> PAGEREF _Toc82444605 \h </w:instrText>
      </w:r>
      <w:r>
        <w:fldChar w:fldCharType="separate"/>
      </w:r>
      <w:r>
        <w:t>28</w:t>
      </w:r>
      <w:r>
        <w:fldChar w:fldCharType="end"/>
      </w:r>
    </w:p>
    <w:p w14:paraId="21ACF934" w14:textId="51473D6C" w:rsidR="00113217" w:rsidRDefault="00113217">
      <w:pPr>
        <w:pStyle w:val="TOC1"/>
        <w:rPr>
          <w:rFonts w:asciiTheme="minorHAnsi" w:eastAsiaTheme="minorEastAsia" w:hAnsiTheme="minorHAnsi" w:cstheme="minorBidi"/>
          <w:sz w:val="22"/>
          <w:szCs w:val="22"/>
        </w:rPr>
      </w:pPr>
      <w:r w:rsidRPr="006E65AE">
        <w:t>VII.</w:t>
      </w:r>
      <w:r>
        <w:rPr>
          <w:rFonts w:asciiTheme="minorHAnsi" w:eastAsiaTheme="minorEastAsia" w:hAnsiTheme="minorHAnsi" w:cstheme="minorBidi"/>
          <w:sz w:val="22"/>
          <w:szCs w:val="22"/>
        </w:rPr>
        <w:tab/>
      </w:r>
      <w:r>
        <w:t>Construction Risk Management and Mitigation</w:t>
      </w:r>
      <w:r>
        <w:tab/>
      </w:r>
      <w:r>
        <w:fldChar w:fldCharType="begin"/>
      </w:r>
      <w:r>
        <w:instrText xml:space="preserve"> PAGEREF _Toc82444606 \h </w:instrText>
      </w:r>
      <w:r>
        <w:fldChar w:fldCharType="separate"/>
      </w:r>
      <w:r>
        <w:t>32</w:t>
      </w:r>
      <w:r>
        <w:fldChar w:fldCharType="end"/>
      </w:r>
    </w:p>
    <w:p w14:paraId="03E110D1" w14:textId="6BF1E029" w:rsidR="00113217" w:rsidRDefault="00113217">
      <w:pPr>
        <w:pStyle w:val="TOC1"/>
        <w:rPr>
          <w:rFonts w:asciiTheme="minorHAnsi" w:eastAsiaTheme="minorEastAsia" w:hAnsiTheme="minorHAnsi" w:cstheme="minorBidi"/>
          <w:sz w:val="22"/>
          <w:szCs w:val="22"/>
        </w:rPr>
      </w:pPr>
      <w:r w:rsidRPr="006E65AE">
        <w:t>VIII.</w:t>
      </w:r>
      <w:r>
        <w:rPr>
          <w:rFonts w:asciiTheme="minorHAnsi" w:eastAsiaTheme="minorEastAsia" w:hAnsiTheme="minorHAnsi" w:cstheme="minorBidi"/>
          <w:sz w:val="22"/>
          <w:szCs w:val="22"/>
        </w:rPr>
        <w:tab/>
      </w:r>
      <w:r>
        <w:t>Conclusion</w:t>
      </w:r>
      <w:r>
        <w:tab/>
      </w:r>
      <w:r>
        <w:fldChar w:fldCharType="begin"/>
      </w:r>
      <w:r>
        <w:instrText xml:space="preserve"> PAGEREF _Toc82444607 \h </w:instrText>
      </w:r>
      <w:r>
        <w:fldChar w:fldCharType="separate"/>
      </w:r>
      <w:r>
        <w:t>41</w:t>
      </w:r>
      <w:r>
        <w:fldChar w:fldCharType="end"/>
      </w:r>
    </w:p>
    <w:p w14:paraId="1698569B" w14:textId="57095C06" w:rsidR="006D430A" w:rsidRDefault="009E794D">
      <w:pPr>
        <w:tabs>
          <w:tab w:val="left" w:pos="2776"/>
          <w:tab w:val="left" w:pos="6885"/>
        </w:tabs>
        <w:spacing w:after="240" w:line="240" w:lineRule="auto"/>
        <w:rPr>
          <w:rFonts w:eastAsia="Times New Roman"/>
          <w:szCs w:val="24"/>
        </w:rPr>
      </w:pPr>
      <w:r>
        <w:rPr>
          <w:rFonts w:eastAsia="Times New Roman"/>
          <w:szCs w:val="24"/>
        </w:rPr>
        <w:fldChar w:fldCharType="end"/>
      </w:r>
    </w:p>
    <w:p w14:paraId="1698569C" w14:textId="77777777" w:rsidR="006D430A" w:rsidRDefault="009E794D">
      <w:pPr>
        <w:spacing w:after="240" w:line="240" w:lineRule="auto"/>
        <w:jc w:val="center"/>
        <w:rPr>
          <w:rFonts w:eastAsia="Times New Roman"/>
          <w:b/>
          <w:szCs w:val="24"/>
          <w:u w:val="single"/>
        </w:rPr>
      </w:pPr>
      <w:r>
        <w:rPr>
          <w:rFonts w:eastAsia="Times New Roman"/>
          <w:b/>
          <w:szCs w:val="24"/>
          <w:u w:val="single"/>
        </w:rPr>
        <w:t>EXHIBITS</w:t>
      </w:r>
    </w:p>
    <w:p w14:paraId="1698569D" w14:textId="77777777" w:rsidR="006D430A" w:rsidRDefault="009E794D">
      <w:pPr>
        <w:tabs>
          <w:tab w:val="left" w:pos="1800"/>
        </w:tabs>
        <w:spacing w:after="240" w:line="240" w:lineRule="auto"/>
        <w:rPr>
          <w:rFonts w:eastAsia="Times New Roman"/>
          <w:b/>
          <w:szCs w:val="24"/>
        </w:rPr>
      </w:pPr>
      <w:r>
        <w:rPr>
          <w:rFonts w:eastAsia="Times New Roman"/>
          <w:szCs w:val="24"/>
        </w:rPr>
        <w:t>Exhibit CR-1</w:t>
      </w:r>
      <w:r>
        <w:rPr>
          <w:rFonts w:eastAsia="Times New Roman"/>
          <w:szCs w:val="24"/>
        </w:rPr>
        <w:tab/>
        <w:t>Self-Build Commercial Team Guidelines and Acknowledgment</w:t>
      </w:r>
    </w:p>
    <w:p w14:paraId="1698569E" w14:textId="77777777" w:rsidR="006D430A" w:rsidRDefault="009E794D">
      <w:pPr>
        <w:tabs>
          <w:tab w:val="left" w:pos="1440"/>
          <w:tab w:val="left" w:pos="1800"/>
          <w:tab w:val="center" w:pos="4320"/>
          <w:tab w:val="right" w:pos="8640"/>
        </w:tabs>
        <w:spacing w:after="240" w:line="240" w:lineRule="auto"/>
        <w:jc w:val="both"/>
        <w:rPr>
          <w:rFonts w:eastAsia="Times New Roman"/>
          <w:szCs w:val="24"/>
        </w:rPr>
      </w:pPr>
      <w:r>
        <w:rPr>
          <w:rFonts w:eastAsia="Times New Roman"/>
          <w:szCs w:val="24"/>
        </w:rPr>
        <w:t xml:space="preserve">Exhibit CR-2 </w:t>
      </w:r>
      <w:r>
        <w:rPr>
          <w:rFonts w:eastAsia="Times New Roman"/>
          <w:szCs w:val="24"/>
        </w:rPr>
        <w:tab/>
      </w:r>
      <w:r>
        <w:rPr>
          <w:rFonts w:eastAsia="Times New Roman"/>
          <w:szCs w:val="24"/>
        </w:rPr>
        <w:tab/>
        <w:t>Area Map</w:t>
      </w:r>
    </w:p>
    <w:p w14:paraId="1698569F" w14:textId="77777777" w:rsidR="006D430A" w:rsidRDefault="009E794D">
      <w:pPr>
        <w:tabs>
          <w:tab w:val="left" w:pos="1440"/>
          <w:tab w:val="left" w:pos="1800"/>
          <w:tab w:val="center" w:pos="4320"/>
          <w:tab w:val="right" w:pos="8640"/>
        </w:tabs>
        <w:spacing w:after="240" w:line="240" w:lineRule="auto"/>
        <w:jc w:val="both"/>
        <w:rPr>
          <w:rFonts w:eastAsia="Times New Roman"/>
          <w:szCs w:val="24"/>
        </w:rPr>
      </w:pPr>
      <w:r>
        <w:rPr>
          <w:rFonts w:eastAsia="Times New Roman"/>
          <w:szCs w:val="24"/>
        </w:rPr>
        <w:t>Exhibit CR-3</w:t>
      </w:r>
      <w:r>
        <w:rPr>
          <w:rFonts w:eastAsia="Times New Roman"/>
          <w:szCs w:val="24"/>
        </w:rPr>
        <w:tab/>
      </w:r>
      <w:r>
        <w:rPr>
          <w:rFonts w:eastAsia="Times New Roman"/>
          <w:szCs w:val="24"/>
        </w:rPr>
        <w:tab/>
        <w:t>OCAPS Site Location Map</w:t>
      </w:r>
    </w:p>
    <w:p w14:paraId="169856A0" w14:textId="77777777" w:rsidR="006D430A" w:rsidRDefault="009E794D">
      <w:pPr>
        <w:tabs>
          <w:tab w:val="left" w:pos="1800"/>
          <w:tab w:val="center" w:pos="4320"/>
          <w:tab w:val="right" w:pos="8640"/>
        </w:tabs>
        <w:spacing w:after="240" w:line="240" w:lineRule="auto"/>
        <w:jc w:val="both"/>
        <w:rPr>
          <w:rFonts w:eastAsia="Times New Roman"/>
          <w:szCs w:val="24"/>
        </w:rPr>
      </w:pPr>
      <w:r>
        <w:rPr>
          <w:rFonts w:eastAsia="Times New Roman"/>
          <w:szCs w:val="24"/>
        </w:rPr>
        <w:t xml:space="preserve">Exhibit CR-4   </w:t>
      </w:r>
      <w:r>
        <w:rPr>
          <w:rFonts w:eastAsia="Times New Roman"/>
          <w:szCs w:val="24"/>
        </w:rPr>
        <w:tab/>
        <w:t>OCAPS General Arrangement and Site Plan</w:t>
      </w:r>
    </w:p>
    <w:p w14:paraId="169856A1" w14:textId="77777777" w:rsidR="006D430A" w:rsidRDefault="009E794D">
      <w:pPr>
        <w:tabs>
          <w:tab w:val="left" w:pos="1800"/>
          <w:tab w:val="center" w:pos="4320"/>
          <w:tab w:val="right" w:pos="8640"/>
        </w:tabs>
        <w:spacing w:after="240" w:line="240" w:lineRule="auto"/>
        <w:jc w:val="both"/>
        <w:rPr>
          <w:rFonts w:eastAsia="Times New Roman"/>
          <w:szCs w:val="24"/>
        </w:rPr>
      </w:pPr>
      <w:r>
        <w:rPr>
          <w:rFonts w:eastAsia="Times New Roman"/>
          <w:szCs w:val="24"/>
        </w:rPr>
        <w:t xml:space="preserve">Exhibit CR-5 </w:t>
      </w:r>
      <w:r>
        <w:rPr>
          <w:rFonts w:eastAsia="Times New Roman"/>
          <w:szCs w:val="24"/>
        </w:rPr>
        <w:tab/>
        <w:t>Rendering of OCAPS on the Existing Sabine Generating Site</w:t>
      </w:r>
    </w:p>
    <w:p w14:paraId="169856A2" w14:textId="77777777" w:rsidR="006D430A" w:rsidRDefault="009E794D">
      <w:pPr>
        <w:tabs>
          <w:tab w:val="left" w:pos="1800"/>
        </w:tabs>
        <w:spacing w:after="240" w:line="240" w:lineRule="auto"/>
        <w:ind w:left="1800" w:hanging="1800"/>
        <w:rPr>
          <w:rFonts w:eastAsia="Times New Roman"/>
          <w:szCs w:val="24"/>
        </w:rPr>
      </w:pPr>
      <w:r>
        <w:rPr>
          <w:rFonts w:eastAsia="Times New Roman"/>
          <w:szCs w:val="24"/>
        </w:rPr>
        <w:t>Exhibit CR-6</w:t>
      </w:r>
      <w:r>
        <w:rPr>
          <w:rFonts w:eastAsia="Times New Roman"/>
          <w:szCs w:val="24"/>
        </w:rPr>
        <w:tab/>
        <w:t xml:space="preserve">Workpapers Supporting </w:t>
      </w:r>
      <w:proofErr w:type="spellStart"/>
      <w:r>
        <w:rPr>
          <w:rFonts w:eastAsia="Times New Roman"/>
          <w:szCs w:val="24"/>
        </w:rPr>
        <w:t>O&amp;M</w:t>
      </w:r>
      <w:proofErr w:type="spellEnd"/>
      <w:r>
        <w:rPr>
          <w:rFonts w:eastAsia="Times New Roman"/>
          <w:szCs w:val="24"/>
        </w:rPr>
        <w:t xml:space="preserve"> Estimates </w:t>
      </w:r>
      <w:r>
        <w:rPr>
          <w:rFonts w:eastAsia="Times New Roman"/>
          <w:szCs w:val="24"/>
        </w:rPr>
        <w:br/>
      </w:r>
      <w:r>
        <w:rPr>
          <w:rFonts w:eastAsia="Times New Roman"/>
          <w:b/>
          <w:szCs w:val="24"/>
        </w:rPr>
        <w:t>(Highly Sensitive Protected Materials)</w:t>
      </w:r>
    </w:p>
    <w:p w14:paraId="169856A3" w14:textId="75CA27F1" w:rsidR="006D430A" w:rsidRDefault="009E794D">
      <w:pPr>
        <w:tabs>
          <w:tab w:val="left" w:pos="1800"/>
        </w:tabs>
        <w:spacing w:after="240" w:line="240" w:lineRule="auto"/>
        <w:ind w:left="1800" w:hanging="1800"/>
        <w:rPr>
          <w:rFonts w:eastAsia="Times New Roman"/>
          <w:szCs w:val="24"/>
        </w:rPr>
      </w:pPr>
      <w:r>
        <w:rPr>
          <w:rFonts w:eastAsia="Times New Roman"/>
          <w:szCs w:val="24"/>
        </w:rPr>
        <w:t>Exhibit CR-7</w:t>
      </w:r>
      <w:r>
        <w:rPr>
          <w:rFonts w:eastAsia="Times New Roman"/>
          <w:szCs w:val="24"/>
        </w:rPr>
        <w:tab/>
        <w:t>Incremental Plant Staffing Organization Chart</w:t>
      </w:r>
    </w:p>
    <w:p w14:paraId="169856A4" w14:textId="77777777" w:rsidR="006D430A" w:rsidRDefault="009E794D">
      <w:pPr>
        <w:tabs>
          <w:tab w:val="left" w:pos="1800"/>
        </w:tabs>
        <w:spacing w:after="240" w:line="240" w:lineRule="auto"/>
        <w:ind w:left="1800" w:hanging="1800"/>
        <w:rPr>
          <w:rFonts w:eastAsia="Times New Roman"/>
          <w:szCs w:val="24"/>
        </w:rPr>
      </w:pPr>
      <w:r>
        <w:rPr>
          <w:rFonts w:eastAsia="Times New Roman"/>
          <w:szCs w:val="24"/>
        </w:rPr>
        <w:lastRenderedPageBreak/>
        <w:t>Exhibit CR-8</w:t>
      </w:r>
      <w:r>
        <w:rPr>
          <w:rFonts w:eastAsia="Times New Roman"/>
          <w:szCs w:val="24"/>
        </w:rPr>
        <w:tab/>
        <w:t xml:space="preserve">Summary of </w:t>
      </w:r>
      <w:proofErr w:type="spellStart"/>
      <w:r>
        <w:rPr>
          <w:rFonts w:eastAsia="Times New Roman"/>
          <w:szCs w:val="24"/>
        </w:rPr>
        <w:t>EPC</w:t>
      </w:r>
      <w:proofErr w:type="spellEnd"/>
      <w:r>
        <w:rPr>
          <w:rFonts w:eastAsia="Times New Roman"/>
          <w:szCs w:val="24"/>
        </w:rPr>
        <w:t xml:space="preserve"> Contract </w:t>
      </w:r>
      <w:proofErr w:type="gramStart"/>
      <w:r>
        <w:rPr>
          <w:rFonts w:eastAsia="Times New Roman"/>
          <w:szCs w:val="24"/>
        </w:rPr>
        <w:t>Terms</w:t>
      </w:r>
      <w:proofErr w:type="gramEnd"/>
      <w:r>
        <w:rPr>
          <w:rFonts w:eastAsia="Times New Roman"/>
          <w:szCs w:val="24"/>
        </w:rPr>
        <w:br/>
      </w:r>
      <w:r>
        <w:rPr>
          <w:rFonts w:eastAsia="Times New Roman"/>
          <w:b/>
          <w:szCs w:val="24"/>
        </w:rPr>
        <w:t>(Highly Sensitive Protected Materials)</w:t>
      </w:r>
    </w:p>
    <w:p w14:paraId="169856A5" w14:textId="77777777" w:rsidR="006D430A" w:rsidRDefault="006D430A">
      <w:pPr>
        <w:tabs>
          <w:tab w:val="center" w:pos="4320"/>
          <w:tab w:val="right" w:pos="8640"/>
        </w:tabs>
        <w:spacing w:after="240" w:line="240" w:lineRule="auto"/>
        <w:rPr>
          <w:rFonts w:eastAsia="Times New Roman"/>
          <w:szCs w:val="24"/>
        </w:rPr>
        <w:sectPr w:rsidR="006D430A">
          <w:headerReference w:type="default" r:id="rId9"/>
          <w:pgSz w:w="12240" w:h="15840"/>
          <w:pgMar w:top="1440" w:right="1440" w:bottom="1440" w:left="1440" w:header="720" w:footer="720" w:gutter="0"/>
          <w:pgNumType w:fmt="lowerRoman" w:start="1"/>
          <w:cols w:space="720"/>
          <w:docGrid w:linePitch="360"/>
        </w:sectPr>
      </w:pPr>
    </w:p>
    <w:p w14:paraId="169856A6" w14:textId="77777777" w:rsidR="006D430A" w:rsidRDefault="009E794D">
      <w:pPr>
        <w:pStyle w:val="Heading1"/>
      </w:pPr>
      <w:bookmarkStart w:id="0" w:name="_Toc428171257"/>
      <w:bookmarkStart w:id="1" w:name="_Toc428171766"/>
      <w:bookmarkStart w:id="2" w:name="_Toc428209430"/>
      <w:bookmarkStart w:id="3" w:name="_Toc463456490"/>
      <w:bookmarkStart w:id="4" w:name="_Toc65862115"/>
      <w:bookmarkStart w:id="5" w:name="_Toc82444598"/>
      <w:r>
        <w:lastRenderedPageBreak/>
        <w:t>Introduction and Purpose</w:t>
      </w:r>
      <w:bookmarkEnd w:id="0"/>
      <w:bookmarkEnd w:id="1"/>
      <w:bookmarkEnd w:id="2"/>
      <w:bookmarkEnd w:id="3"/>
      <w:bookmarkEnd w:id="4"/>
      <w:bookmarkEnd w:id="5"/>
    </w:p>
    <w:p w14:paraId="169856A7" w14:textId="77777777" w:rsidR="006D430A" w:rsidRDefault="009E794D">
      <w:pPr>
        <w:pStyle w:val="Heading2"/>
      </w:pPr>
      <w:bookmarkStart w:id="6" w:name="_Toc424909718"/>
      <w:bookmarkStart w:id="7" w:name="_Toc425143774"/>
      <w:bookmarkStart w:id="8" w:name="_Toc463456491"/>
      <w:bookmarkStart w:id="9" w:name="_Toc65862116"/>
      <w:bookmarkStart w:id="10" w:name="_Toc82444599"/>
      <w:bookmarkEnd w:id="6"/>
      <w:bookmarkEnd w:id="7"/>
      <w:r>
        <w:t>Qualifications</w:t>
      </w:r>
      <w:bookmarkEnd w:id="8"/>
      <w:bookmarkEnd w:id="9"/>
      <w:bookmarkEnd w:id="10"/>
    </w:p>
    <w:p w14:paraId="169856A8" w14:textId="77777777" w:rsidR="006D430A" w:rsidRDefault="009E794D">
      <w:pPr>
        <w:pStyle w:val="Question"/>
      </w:pPr>
      <w:r>
        <w:t xml:space="preserve">PLEASE STATE YOUR NAME AND CURRENT BUSINESS ADDRESS.  </w:t>
      </w:r>
    </w:p>
    <w:p w14:paraId="169856A9" w14:textId="77777777" w:rsidR="006D430A" w:rsidRDefault="009E794D">
      <w:pPr>
        <w:pStyle w:val="Answer"/>
      </w:pPr>
      <w:r>
        <w:t>A.</w:t>
      </w:r>
      <w:r>
        <w:tab/>
        <w:t xml:space="preserve">My name is Carlos Ruiz.  My business address is Parkwood II Bldg., Suite 500, 10055 </w:t>
      </w:r>
      <w:proofErr w:type="spellStart"/>
      <w:r>
        <w:t>Grogans</w:t>
      </w:r>
      <w:proofErr w:type="spellEnd"/>
      <w:r>
        <w:t xml:space="preserve"> Mill Road, The Woodlands, </w:t>
      </w:r>
      <w:proofErr w:type="gramStart"/>
      <w:r>
        <w:t>Texas</w:t>
      </w:r>
      <w:proofErr w:type="gramEnd"/>
      <w:r>
        <w:t xml:space="preserve"> 77380.</w:t>
      </w:r>
    </w:p>
    <w:p w14:paraId="169856AA" w14:textId="77777777" w:rsidR="006D430A" w:rsidRDefault="006D430A">
      <w:pPr>
        <w:pStyle w:val="Answer"/>
      </w:pPr>
    </w:p>
    <w:p w14:paraId="169856AB" w14:textId="77777777" w:rsidR="006D430A" w:rsidRDefault="009E794D">
      <w:pPr>
        <w:pStyle w:val="Question"/>
      </w:pPr>
      <w:r>
        <w:t>BY WHOM ARE YOU EMPLOYED AND IN WHAT CAPACITY?</w:t>
      </w:r>
    </w:p>
    <w:p w14:paraId="169856AC" w14:textId="77777777" w:rsidR="006D430A" w:rsidRDefault="009E794D">
      <w:pPr>
        <w:pStyle w:val="Answer"/>
      </w:pPr>
      <w:r>
        <w:t>A.</w:t>
      </w:r>
      <w:r>
        <w:tab/>
        <w:t>I am employed by Entergy Services, LLC (“ESL”),</w:t>
      </w:r>
      <w:r>
        <w:rPr>
          <w:vertAlign w:val="superscript"/>
        </w:rPr>
        <w:footnoteReference w:id="2"/>
      </w:r>
      <w:r>
        <w:t xml:space="preserve"> the service company affiliate of Entergy Texas, Inc. (“</w:t>
      </w:r>
      <w:proofErr w:type="spellStart"/>
      <w:r>
        <w:t>ETI</w:t>
      </w:r>
      <w:proofErr w:type="spellEnd"/>
      <w:r>
        <w:t xml:space="preserve">” or the “Company”), as Director, Capital Projects.  In that capacity, I was responsible for preparing the Orange County Advanced Power Station Project (“OCAPS” or the “Project”) that was market tested in the 2020 Request for Proposals for Combined-Cycle Gas Turbine Capacity and Energy Resources for Entergy Texas, Inc. (“2020 </w:t>
      </w:r>
      <w:proofErr w:type="spellStart"/>
      <w:r>
        <w:t>ETI</w:t>
      </w:r>
      <w:proofErr w:type="spellEnd"/>
      <w:r>
        <w:t xml:space="preserve"> RFP”), which included coordinating the activities of the project team and securing all permits and contracts necessary to transition to the implementation phase of the Project.</w:t>
      </w:r>
    </w:p>
    <w:p w14:paraId="169856AD" w14:textId="77777777" w:rsidR="006D430A" w:rsidRDefault="006D430A">
      <w:pPr>
        <w:pStyle w:val="Answer"/>
      </w:pPr>
    </w:p>
    <w:p w14:paraId="169856AE" w14:textId="77777777" w:rsidR="006D430A" w:rsidRDefault="009E794D">
      <w:pPr>
        <w:pStyle w:val="Question"/>
      </w:pPr>
      <w:r>
        <w:t>ON WHOSE BEHALF ARE YOU FILING THIS DIRECT TESTIMONY?</w:t>
      </w:r>
    </w:p>
    <w:p w14:paraId="169856AF" w14:textId="77777777" w:rsidR="006D430A" w:rsidRDefault="009E794D">
      <w:pPr>
        <w:pStyle w:val="Answer"/>
      </w:pPr>
      <w:r>
        <w:t>A.</w:t>
      </w:r>
      <w:r>
        <w:tab/>
        <w:t xml:space="preserve">I am submitting this Direct Testimony to the Public Utility Commission of Texas (“Commission”) on behalf of </w:t>
      </w:r>
      <w:proofErr w:type="spellStart"/>
      <w:r>
        <w:t>ETI</w:t>
      </w:r>
      <w:proofErr w:type="spellEnd"/>
      <w:r>
        <w:t>.</w:t>
      </w:r>
    </w:p>
    <w:p w14:paraId="169856B0" w14:textId="77777777" w:rsidR="006D430A" w:rsidRDefault="009E794D">
      <w:pPr>
        <w:pStyle w:val="Question"/>
      </w:pPr>
      <w:r>
        <w:lastRenderedPageBreak/>
        <w:t>WHAT ARE YOUR RESPONSIBILITIES AS DIRECTOR, CAPITAL PROJECTS?</w:t>
      </w:r>
    </w:p>
    <w:p w14:paraId="169856B1" w14:textId="77777777" w:rsidR="006D430A" w:rsidRDefault="009E794D">
      <w:pPr>
        <w:pStyle w:val="Answer"/>
      </w:pPr>
      <w:r>
        <w:t>A.</w:t>
      </w:r>
      <w:r>
        <w:tab/>
        <w:t xml:space="preserve">I am responsible for the planning and development of all rotating equipment power generation projects for Entergy’s regulated utility business.  This responsibility includes development of cost estimates for power plant projects and overall project schedules, negotiation and administration of large contracts for power plant construction, procurement of services from major equipment vendors, and project controls.  </w:t>
      </w:r>
    </w:p>
    <w:p w14:paraId="169856B2" w14:textId="77777777" w:rsidR="006D430A" w:rsidRDefault="006D430A">
      <w:pPr>
        <w:pStyle w:val="Answer"/>
      </w:pPr>
    </w:p>
    <w:p w14:paraId="169856B3" w14:textId="77777777" w:rsidR="006D430A" w:rsidRDefault="009E794D">
      <w:pPr>
        <w:pStyle w:val="Question"/>
      </w:pPr>
      <w:r>
        <w:t>PLEASE DESCRIBE YOUR EDUCATIONAL AND PROFESSIONAL EXPERIENCE.</w:t>
      </w:r>
    </w:p>
    <w:p w14:paraId="169856B4" w14:textId="77777777" w:rsidR="006D430A" w:rsidRDefault="009E794D">
      <w:pPr>
        <w:pStyle w:val="Answer"/>
      </w:pPr>
      <w:r>
        <w:t>A.</w:t>
      </w:r>
      <w:r>
        <w:tab/>
        <w:t xml:space="preserve">I earned a Bachelor of Science degree in Electrical Engineering from University of Puerto Rico, Mayaguez in 2004.  I have worked in the energy industry since 2001.  All but three years of that experience has been focused on the development, construction, and operation of power generation facilities.  From 2004 to 2011, my roles included quantity surveyor, scheduler, project controls manager, and manager of project controls for multiple projects.  This experience consisted of the engineering, procurement, construction, and start-up of one simple-cycle facility, two combined-cycle facilities, one geothermal facility, two conversions of facilities from simple-cycle to combined-cycle, and the rebuild of a damaged Rankine cycle power plant.  In 2011, I accepted a position within the Entergy organization and began participating in the execution of the </w:t>
      </w:r>
      <w:proofErr w:type="spellStart"/>
      <w:r>
        <w:t>Ninemile</w:t>
      </w:r>
      <w:proofErr w:type="spellEnd"/>
      <w:r>
        <w:t xml:space="preserve"> 6 power plant.  Since then, I have assisted in the development and planning of the J. Wayne Leonard Power Station, Lake Charles Power Station, and Montgomery County Power Station (“</w:t>
      </w:r>
      <w:proofErr w:type="spellStart"/>
      <w:r>
        <w:t>MCPS</w:t>
      </w:r>
      <w:proofErr w:type="spellEnd"/>
      <w:r>
        <w:t xml:space="preserve">”) self-build options that were market tested in requests </w:t>
      </w:r>
      <w:r>
        <w:lastRenderedPageBreak/>
        <w:t>for proposals, and the implementation of those projects after they were selected.  I was responsible for developing the overall project schedules, negotiating the project management requirements, and overseeing the project controls responsibilities during execution.</w:t>
      </w:r>
    </w:p>
    <w:p w14:paraId="169856B5" w14:textId="77777777" w:rsidR="006D430A" w:rsidRDefault="009E794D">
      <w:pPr>
        <w:pStyle w:val="Answer2"/>
      </w:pPr>
      <w:r>
        <w:t>My history in developing and constructing power generation provides me with significant experience in the development of cost estimates for power plant projects, negotiation and administration of large contracts for the construction of power plants, and the procurement of services from major equipment vendors.</w:t>
      </w:r>
    </w:p>
    <w:p w14:paraId="169856B6" w14:textId="77777777" w:rsidR="006D430A" w:rsidRDefault="006D430A">
      <w:pPr>
        <w:pStyle w:val="Answer"/>
      </w:pPr>
    </w:p>
    <w:p w14:paraId="169856B7" w14:textId="77777777" w:rsidR="006D430A" w:rsidRDefault="009E794D">
      <w:pPr>
        <w:pStyle w:val="Heading2"/>
      </w:pPr>
      <w:bookmarkStart w:id="11" w:name="_Toc295930969"/>
      <w:bookmarkStart w:id="12" w:name="_Toc463456492"/>
      <w:bookmarkStart w:id="13" w:name="_Toc65862117"/>
      <w:bookmarkStart w:id="14" w:name="_Toc82444600"/>
      <w:r>
        <w:t>Purpose of Testimony</w:t>
      </w:r>
      <w:bookmarkEnd w:id="11"/>
      <w:bookmarkEnd w:id="12"/>
      <w:bookmarkEnd w:id="13"/>
      <w:bookmarkEnd w:id="14"/>
    </w:p>
    <w:p w14:paraId="169856B8" w14:textId="77777777" w:rsidR="006D430A" w:rsidRDefault="009E794D">
      <w:pPr>
        <w:pStyle w:val="Question"/>
      </w:pPr>
      <w:r>
        <w:t>WHAT IS THE PURPOSE OF YOUR DIRECT TESTIMONY?</w:t>
      </w:r>
    </w:p>
    <w:p w14:paraId="169856B9" w14:textId="77777777" w:rsidR="006D430A" w:rsidRDefault="009E794D">
      <w:pPr>
        <w:pStyle w:val="Answer"/>
      </w:pPr>
      <w:r>
        <w:t>A.</w:t>
      </w:r>
      <w:r>
        <w:tab/>
        <w:t xml:space="preserve">My testimony supports </w:t>
      </w:r>
      <w:proofErr w:type="spellStart"/>
      <w:r>
        <w:t>ETI’s</w:t>
      </w:r>
      <w:proofErr w:type="spellEnd"/>
      <w:r>
        <w:t xml:space="preserve"> application for an amendment to its certificate of convenience and necessity (“</w:t>
      </w:r>
      <w:proofErr w:type="spellStart"/>
      <w:r>
        <w:t>CCN</w:t>
      </w:r>
      <w:proofErr w:type="spellEnd"/>
      <w:r>
        <w:t>”) to construct, own, and operate OCAPS, a nominally sized</w:t>
      </w:r>
      <w:r>
        <w:rPr>
          <w:vertAlign w:val="superscript"/>
        </w:rPr>
        <w:footnoteReference w:id="3"/>
      </w:r>
      <w:r>
        <w:t xml:space="preserve"> 1,215-megawatt (“MW”) combined-cycle combustion turbine (“</w:t>
      </w:r>
      <w:proofErr w:type="spellStart"/>
      <w:r>
        <w:t>CCCT</w:t>
      </w:r>
      <w:proofErr w:type="spellEnd"/>
      <w:r>
        <w:t xml:space="preserve">”) resource in Orange County, Texas.  I first provide an overview of the proposed Project.  I next explain how the self-build commercial team developed the cost estimates associated with the Project, which were considered in the 2020 </w:t>
      </w:r>
      <w:proofErr w:type="spellStart"/>
      <w:r>
        <w:t>ETI</w:t>
      </w:r>
      <w:proofErr w:type="spellEnd"/>
      <w:r>
        <w:t xml:space="preserve"> RFP.  I then present the current capital cost estimate, project schedule, and estimated non-fuel operations and maintenance (“</w:t>
      </w:r>
      <w:proofErr w:type="spellStart"/>
      <w:r>
        <w:t>O&amp;M</w:t>
      </w:r>
      <w:proofErr w:type="spellEnd"/>
      <w:r>
        <w:t xml:space="preserve">”) costs associated with OCAPS.  Further, I describe the management approach the Company intends to employ and the process </w:t>
      </w:r>
      <w:r>
        <w:lastRenderedPageBreak/>
        <w:t>used to select a consortium of contractors that consists of Sargent &amp; Lundy, The Industrial Company (“TIC”), and Mitsubishi Power Americas (“MPA”) to provide engineering, procurement, and construction (“</w:t>
      </w:r>
      <w:proofErr w:type="spellStart"/>
      <w:r>
        <w:t>EPC</w:t>
      </w:r>
      <w:proofErr w:type="spellEnd"/>
      <w:r>
        <w:t>”) services for OCAPS (collectively, the “</w:t>
      </w:r>
      <w:proofErr w:type="spellStart"/>
      <w:r>
        <w:t>EPC</w:t>
      </w:r>
      <w:proofErr w:type="spellEnd"/>
      <w:r>
        <w:t xml:space="preserve"> Consortium”).  I also discuss the risk mitigation measures put in place to control Project risk.  Finally, I discuss the status of the required permits and approvals for OCAPS. </w:t>
      </w:r>
    </w:p>
    <w:p w14:paraId="169856BA" w14:textId="77777777" w:rsidR="006D430A" w:rsidRDefault="006D430A">
      <w:pPr>
        <w:pStyle w:val="Answer"/>
        <w:ind w:left="0" w:firstLine="0"/>
      </w:pPr>
    </w:p>
    <w:p w14:paraId="169856BB" w14:textId="77777777" w:rsidR="006D430A" w:rsidRDefault="009E794D">
      <w:pPr>
        <w:pStyle w:val="Question"/>
      </w:pPr>
      <w:r>
        <w:t>DO YOU SPONSOR ANY EXHIBITS?</w:t>
      </w:r>
    </w:p>
    <w:p w14:paraId="169856BC" w14:textId="77777777" w:rsidR="006D430A" w:rsidRDefault="009E794D">
      <w:pPr>
        <w:pStyle w:val="Answer"/>
      </w:pPr>
      <w:r>
        <w:t>A.</w:t>
      </w:r>
      <w:r>
        <w:tab/>
        <w:t>Yes.  I sponsor the exhibits listed in the Table of Contents to my testimony.</w:t>
      </w:r>
    </w:p>
    <w:p w14:paraId="169856BD" w14:textId="77777777" w:rsidR="006D430A" w:rsidRDefault="006D430A">
      <w:pPr>
        <w:pStyle w:val="Answer"/>
      </w:pPr>
    </w:p>
    <w:p w14:paraId="169856BE" w14:textId="77777777" w:rsidR="006D430A" w:rsidRDefault="009E794D">
      <w:pPr>
        <w:pStyle w:val="Heading1"/>
      </w:pPr>
      <w:bookmarkStart w:id="15" w:name="_Toc428171258"/>
      <w:bookmarkStart w:id="16" w:name="_Toc428171767"/>
      <w:bookmarkStart w:id="17" w:name="_Toc428209431"/>
      <w:bookmarkStart w:id="18" w:name="_Toc463456493"/>
      <w:bookmarkStart w:id="19" w:name="_Toc65862118"/>
      <w:bookmarkStart w:id="20" w:name="_Toc82444601"/>
      <w:r>
        <w:t>Project Overview</w:t>
      </w:r>
      <w:bookmarkEnd w:id="15"/>
      <w:bookmarkEnd w:id="16"/>
      <w:bookmarkEnd w:id="17"/>
      <w:bookmarkEnd w:id="18"/>
      <w:bookmarkEnd w:id="19"/>
      <w:bookmarkEnd w:id="20"/>
    </w:p>
    <w:p w14:paraId="169856BF" w14:textId="77777777" w:rsidR="006D430A" w:rsidRDefault="009E794D">
      <w:pPr>
        <w:pStyle w:val="Question"/>
      </w:pPr>
      <w:r>
        <w:t>PLEASE PROVIDE A BRIEF OVERVIEW OF THE PROJECT.</w:t>
      </w:r>
    </w:p>
    <w:p w14:paraId="169856C0" w14:textId="77777777" w:rsidR="006D430A" w:rsidRDefault="009E794D">
      <w:pPr>
        <w:pStyle w:val="Answer"/>
      </w:pPr>
      <w:r>
        <w:t>A.</w:t>
      </w:r>
      <w:r>
        <w:tab/>
        <w:t xml:space="preserve">OCAPS is expected to provide approximately 1,215 MW (nominal) of </w:t>
      </w:r>
      <w:proofErr w:type="spellStart"/>
      <w:r>
        <w:t>CCCT</w:t>
      </w:r>
      <w:proofErr w:type="spellEnd"/>
      <w:r>
        <w:t xml:space="preserve"> generating capacity and consists of two MPA 501 </w:t>
      </w:r>
      <w:proofErr w:type="spellStart"/>
      <w:r>
        <w:t>JAC</w:t>
      </w:r>
      <w:proofErr w:type="spellEnd"/>
      <w:r>
        <w:t xml:space="preserve"> combustion turbines, two </w:t>
      </w:r>
      <w:proofErr w:type="spellStart"/>
      <w:r>
        <w:t>Nooter</w:t>
      </w:r>
      <w:proofErr w:type="spellEnd"/>
      <w:r>
        <w:t xml:space="preserve"> </w:t>
      </w:r>
      <w:proofErr w:type="spellStart"/>
      <w:r>
        <w:t>Eriksen</w:t>
      </w:r>
      <w:proofErr w:type="spellEnd"/>
      <w:r>
        <w:t xml:space="preserve"> heat recovery steam generators (“</w:t>
      </w:r>
      <w:proofErr w:type="spellStart"/>
      <w:r>
        <w:t>HRSGs</w:t>
      </w:r>
      <w:proofErr w:type="spellEnd"/>
      <w:r>
        <w:t xml:space="preserve">”), </w:t>
      </w:r>
      <w:proofErr w:type="gramStart"/>
      <w:r>
        <w:t>one</w:t>
      </w:r>
      <w:proofErr w:type="gramEnd"/>
      <w:r>
        <w:t xml:space="preserve"> MPA steam turbine generator in a </w:t>
      </w:r>
      <w:proofErr w:type="spellStart"/>
      <w:r>
        <w:t>2x1</w:t>
      </w:r>
      <w:proofErr w:type="spellEnd"/>
      <w:r>
        <w:t xml:space="preserve"> combined-cycle configuration, and other balance of plant equipment, including the use of a cooling tower for closed-cycle cooling operations.  OCAPS will be capable of co-firing up to 30% hydrogen (by volume) upon commercial operation.  Specifically, the modern turbines incorporated into OCAPS are, by design, capable of co-firing up to 30% hydrogen (by volume), and </w:t>
      </w:r>
      <w:proofErr w:type="spellStart"/>
      <w:r>
        <w:t>ETI</w:t>
      </w:r>
      <w:proofErr w:type="spellEnd"/>
      <w:r>
        <w:t xml:space="preserve"> made the decision to include a $65 million investment in other plant infrastructure to enable the plant to utilize this co-firing capability upon commercial operation.  </w:t>
      </w:r>
      <w:proofErr w:type="spellStart"/>
      <w:r>
        <w:t>ETI</w:t>
      </w:r>
      <w:proofErr w:type="spellEnd"/>
      <w:r>
        <w:t xml:space="preserve"> witness Abigail B. Weaver explains </w:t>
      </w:r>
      <w:proofErr w:type="spellStart"/>
      <w:r>
        <w:t>ETI’s</w:t>
      </w:r>
      <w:proofErr w:type="spellEnd"/>
      <w:r>
        <w:t xml:space="preserve"> evaluation and decision to invest to unlock OCAPS’ hydrogen capabilities.  The </w:t>
      </w:r>
      <w:r>
        <w:lastRenderedPageBreak/>
        <w:t xml:space="preserve">plant will be located in Bridge City, Texas, adjacent to </w:t>
      </w:r>
      <w:proofErr w:type="spellStart"/>
      <w:r>
        <w:t>ETI’s</w:t>
      </w:r>
      <w:proofErr w:type="spellEnd"/>
      <w:r>
        <w:t xml:space="preserve"> existing Sabine generation facility.  </w:t>
      </w:r>
    </w:p>
    <w:p w14:paraId="169856C1" w14:textId="77777777" w:rsidR="006D430A" w:rsidRDefault="009E794D">
      <w:pPr>
        <w:pStyle w:val="Answer2"/>
      </w:pPr>
      <w:r>
        <w:t xml:space="preserve">The Project will be constructed by the </w:t>
      </w:r>
      <w:proofErr w:type="spellStart"/>
      <w:r>
        <w:t>EPC</w:t>
      </w:r>
      <w:proofErr w:type="spellEnd"/>
      <w:r>
        <w:t xml:space="preserve"> Consortium under a fixed price,</w:t>
      </w:r>
      <w:r>
        <w:rPr>
          <w:rStyle w:val="FootnoteReference"/>
        </w:rPr>
        <w:footnoteReference w:id="4"/>
      </w:r>
      <w:r>
        <w:t xml:space="preserve"> fixed schedule duration form of </w:t>
      </w:r>
      <w:proofErr w:type="spellStart"/>
      <w:r>
        <w:t>EPC</w:t>
      </w:r>
      <w:proofErr w:type="spellEnd"/>
      <w:r>
        <w:t xml:space="preserve"> contract, and will cost an estimated $1.19 billion, including an allowance for funds used during construction (“</w:t>
      </w:r>
      <w:proofErr w:type="spellStart"/>
      <w:r>
        <w:t>AFUDC</w:t>
      </w:r>
      <w:proofErr w:type="spellEnd"/>
      <w:r>
        <w:t>”) and estimated transmission upgrades.  This amount includes approximately $1.107 billion associated with the generation portion of the Project, or roughly $911 per kilowatt (“kW”), and $86 million in estimated transmission interconnection and system upgrade costs.  The derivation of the transmission estimate is discussed in more detail by Company witness Daniel Kline.  If there are no unanticipated project delays due to the inability to obtain all necessary regulatory approvals, permits, materials, and equipment, OCAPS is expected to enter service in the first half of 2026.</w:t>
      </w:r>
    </w:p>
    <w:p w14:paraId="169856C2" w14:textId="77777777" w:rsidR="006D430A" w:rsidRDefault="006D430A">
      <w:pPr>
        <w:pStyle w:val="Answer"/>
      </w:pPr>
    </w:p>
    <w:p w14:paraId="169856C3" w14:textId="77777777" w:rsidR="006D430A" w:rsidRDefault="009E794D">
      <w:pPr>
        <w:pStyle w:val="Question"/>
      </w:pPr>
      <w:r>
        <w:t>WHAT IS THE EXPECTED OUTPUT OF OCAPS?</w:t>
      </w:r>
    </w:p>
    <w:p w14:paraId="169856C4" w14:textId="77777777" w:rsidR="006D430A" w:rsidRDefault="009E794D">
      <w:pPr>
        <w:pStyle w:val="Answer"/>
      </w:pPr>
      <w:r>
        <w:t>A.</w:t>
      </w:r>
      <w:r>
        <w:tab/>
        <w:t xml:space="preserve">OCAPS is designed with a nominal output of 1,215 MW.  The actual maximum output of the unit will depend on the following variable factors and conditions: ambient temperature, relative humidity, Btu content of fuel delivered at the unit, temperature of cooling water, and number of operating hours since the last maintenance interval.  By way of illustration, OCAPS, in a new and clean condition, would be expected to </w:t>
      </w:r>
      <w:r>
        <w:lastRenderedPageBreak/>
        <w:t xml:space="preserve">generate approximately 1,215 MW, based on ISO ambient conditions of 59 degrees Fahrenheit and 60% relative humidity.  At summer conditions of 93 degrees Fahrenheit and 57% relative humidity, OCAPS would be expected to generate approximately 1,158 MW. </w:t>
      </w:r>
    </w:p>
    <w:p w14:paraId="169856C5" w14:textId="77777777" w:rsidR="006D430A" w:rsidRDefault="009E794D">
      <w:pPr>
        <w:pStyle w:val="TableHeading"/>
      </w:pPr>
      <w:proofErr w:type="spellStart"/>
      <w:r w:rsidRPr="008E1EBE">
        <w:t>HSPM</w:t>
      </w:r>
      <w:proofErr w:type="spellEnd"/>
      <w:r w:rsidRPr="006D4598">
        <w:t xml:space="preserve"> </w:t>
      </w:r>
      <w:r>
        <w:t>Table 1: Base Proposal Predicted Unit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1800"/>
        <w:gridCol w:w="2309"/>
      </w:tblGrid>
      <w:tr w:rsidR="006D430A" w14:paraId="169856CB" w14:textId="77777777">
        <w:trPr>
          <w:trHeight w:val="602"/>
          <w:jc w:val="center"/>
        </w:trPr>
        <w:tc>
          <w:tcPr>
            <w:tcW w:w="4855" w:type="dxa"/>
            <w:shd w:val="clear" w:color="auto" w:fill="auto"/>
            <w:vAlign w:val="center"/>
          </w:tcPr>
          <w:p w14:paraId="169856C6" w14:textId="77777777" w:rsidR="006D430A" w:rsidRDefault="006D430A">
            <w:pPr>
              <w:spacing w:line="240" w:lineRule="auto"/>
              <w:rPr>
                <w:b/>
                <w:color w:val="FFFFFF" w:themeColor="background1"/>
                <w:szCs w:val="24"/>
              </w:rPr>
            </w:pPr>
          </w:p>
        </w:tc>
        <w:tc>
          <w:tcPr>
            <w:tcW w:w="1800" w:type="dxa"/>
            <w:shd w:val="clear" w:color="auto" w:fill="auto"/>
            <w:vAlign w:val="center"/>
          </w:tcPr>
          <w:p w14:paraId="169856C7" w14:textId="77777777" w:rsidR="006D430A" w:rsidRDefault="009E794D">
            <w:pPr>
              <w:spacing w:line="240" w:lineRule="auto"/>
              <w:jc w:val="center"/>
              <w:rPr>
                <w:b/>
                <w:szCs w:val="24"/>
              </w:rPr>
            </w:pPr>
            <w:r>
              <w:rPr>
                <w:b/>
                <w:szCs w:val="24"/>
              </w:rPr>
              <w:t>Unit Capacity</w:t>
            </w:r>
          </w:p>
          <w:p w14:paraId="169856C8" w14:textId="77777777" w:rsidR="006D430A" w:rsidRDefault="009E794D">
            <w:pPr>
              <w:spacing w:line="240" w:lineRule="auto"/>
              <w:jc w:val="center"/>
              <w:rPr>
                <w:b/>
                <w:szCs w:val="24"/>
              </w:rPr>
            </w:pPr>
            <w:r>
              <w:rPr>
                <w:b/>
                <w:szCs w:val="24"/>
              </w:rPr>
              <w:t>(MW)</w:t>
            </w:r>
          </w:p>
        </w:tc>
        <w:tc>
          <w:tcPr>
            <w:tcW w:w="2309" w:type="dxa"/>
            <w:shd w:val="clear" w:color="auto" w:fill="auto"/>
            <w:vAlign w:val="center"/>
          </w:tcPr>
          <w:p w14:paraId="169856C9" w14:textId="77777777" w:rsidR="006D430A" w:rsidRDefault="009E794D">
            <w:pPr>
              <w:spacing w:line="240" w:lineRule="auto"/>
              <w:jc w:val="center"/>
              <w:rPr>
                <w:b/>
                <w:szCs w:val="24"/>
              </w:rPr>
            </w:pPr>
            <w:r>
              <w:rPr>
                <w:b/>
                <w:szCs w:val="24"/>
              </w:rPr>
              <w:t>Heat Rate</w:t>
            </w:r>
          </w:p>
          <w:p w14:paraId="169856CA" w14:textId="77777777" w:rsidR="006D430A" w:rsidRDefault="009E794D">
            <w:pPr>
              <w:spacing w:line="240" w:lineRule="auto"/>
              <w:jc w:val="center"/>
              <w:rPr>
                <w:b/>
                <w:szCs w:val="24"/>
              </w:rPr>
            </w:pPr>
            <w:r>
              <w:rPr>
                <w:b/>
                <w:szCs w:val="24"/>
              </w:rPr>
              <w:t xml:space="preserve">(Btu / kW-hr, </w:t>
            </w:r>
            <w:proofErr w:type="spellStart"/>
            <w:r>
              <w:rPr>
                <w:b/>
                <w:szCs w:val="24"/>
              </w:rPr>
              <w:t>HHV</w:t>
            </w:r>
            <w:proofErr w:type="spellEnd"/>
            <w:r>
              <w:rPr>
                <w:b/>
                <w:szCs w:val="24"/>
              </w:rPr>
              <w:t>)</w:t>
            </w:r>
          </w:p>
        </w:tc>
      </w:tr>
      <w:tr w:rsidR="006D430A" w14:paraId="169856CF" w14:textId="77777777">
        <w:trPr>
          <w:jc w:val="center"/>
        </w:trPr>
        <w:tc>
          <w:tcPr>
            <w:tcW w:w="4855" w:type="dxa"/>
            <w:vAlign w:val="center"/>
          </w:tcPr>
          <w:p w14:paraId="169856CC" w14:textId="77777777" w:rsidR="006D430A" w:rsidRDefault="009E794D">
            <w:pPr>
              <w:spacing w:before="60" w:after="60" w:line="240" w:lineRule="auto"/>
              <w:rPr>
                <w:b/>
                <w:szCs w:val="24"/>
              </w:rPr>
            </w:pPr>
            <w:r>
              <w:rPr>
                <w:szCs w:val="24"/>
              </w:rPr>
              <w:t>Maximum output, ISO conditions</w:t>
            </w:r>
          </w:p>
        </w:tc>
        <w:tc>
          <w:tcPr>
            <w:tcW w:w="1800" w:type="dxa"/>
            <w:shd w:val="clear" w:color="auto" w:fill="auto"/>
            <w:vAlign w:val="center"/>
          </w:tcPr>
          <w:p w14:paraId="169856CD" w14:textId="77777777" w:rsidR="006D430A" w:rsidRDefault="009E794D">
            <w:pPr>
              <w:spacing w:before="60" w:after="60" w:line="240" w:lineRule="auto"/>
              <w:jc w:val="center"/>
              <w:rPr>
                <w:b/>
                <w:szCs w:val="24"/>
              </w:rPr>
            </w:pPr>
            <w:r>
              <w:rPr>
                <w:szCs w:val="24"/>
              </w:rPr>
              <w:t>1,215</w:t>
            </w:r>
          </w:p>
        </w:tc>
        <w:tc>
          <w:tcPr>
            <w:tcW w:w="2309" w:type="dxa"/>
            <w:shd w:val="clear" w:color="auto" w:fill="auto"/>
            <w:vAlign w:val="center"/>
          </w:tcPr>
          <w:p w14:paraId="169856CE" w14:textId="2AC11F36" w:rsidR="006D430A" w:rsidRPr="008E1EBE" w:rsidRDefault="008E1EBE">
            <w:pPr>
              <w:spacing w:before="60" w:after="60" w:line="240" w:lineRule="auto"/>
              <w:jc w:val="center"/>
              <w:rPr>
                <w:b/>
                <w:szCs w:val="24"/>
              </w:rPr>
            </w:pPr>
            <w:proofErr w:type="spellStart"/>
            <w:r w:rsidRPr="008E1EBE">
              <w:rPr>
                <w:szCs w:val="24"/>
                <w:highlight w:val="black"/>
              </w:rPr>
              <w:t>xxxxxxx</w:t>
            </w:r>
            <w:proofErr w:type="spellEnd"/>
          </w:p>
        </w:tc>
      </w:tr>
      <w:tr w:rsidR="006D430A" w14:paraId="169856D3" w14:textId="77777777">
        <w:trPr>
          <w:jc w:val="center"/>
        </w:trPr>
        <w:tc>
          <w:tcPr>
            <w:tcW w:w="4855" w:type="dxa"/>
            <w:vAlign w:val="center"/>
          </w:tcPr>
          <w:p w14:paraId="169856D0" w14:textId="77777777" w:rsidR="006D430A" w:rsidRDefault="009E794D">
            <w:pPr>
              <w:spacing w:before="60" w:after="60" w:line="240" w:lineRule="auto"/>
              <w:rPr>
                <w:b/>
                <w:szCs w:val="24"/>
              </w:rPr>
            </w:pPr>
            <w:r>
              <w:rPr>
                <w:szCs w:val="24"/>
              </w:rPr>
              <w:t>Maximum output, Summer conditions</w:t>
            </w:r>
          </w:p>
        </w:tc>
        <w:tc>
          <w:tcPr>
            <w:tcW w:w="1800" w:type="dxa"/>
            <w:shd w:val="clear" w:color="auto" w:fill="auto"/>
            <w:vAlign w:val="center"/>
          </w:tcPr>
          <w:p w14:paraId="169856D1" w14:textId="77777777" w:rsidR="006D430A" w:rsidRDefault="009E794D">
            <w:pPr>
              <w:spacing w:before="60" w:after="60" w:line="240" w:lineRule="auto"/>
              <w:jc w:val="center"/>
              <w:rPr>
                <w:b/>
                <w:szCs w:val="24"/>
              </w:rPr>
            </w:pPr>
            <w:r>
              <w:rPr>
                <w:szCs w:val="24"/>
              </w:rPr>
              <w:t>1,158</w:t>
            </w:r>
          </w:p>
        </w:tc>
        <w:tc>
          <w:tcPr>
            <w:tcW w:w="2309" w:type="dxa"/>
            <w:shd w:val="clear" w:color="auto" w:fill="auto"/>
            <w:vAlign w:val="center"/>
          </w:tcPr>
          <w:p w14:paraId="169856D2" w14:textId="43EC914F" w:rsidR="006D430A" w:rsidRPr="008E1EBE" w:rsidRDefault="008E1EBE">
            <w:pPr>
              <w:spacing w:before="60" w:after="60" w:line="240" w:lineRule="auto"/>
              <w:jc w:val="center"/>
              <w:rPr>
                <w:b/>
                <w:szCs w:val="24"/>
              </w:rPr>
            </w:pPr>
            <w:proofErr w:type="spellStart"/>
            <w:r w:rsidRPr="008E1EBE">
              <w:rPr>
                <w:szCs w:val="24"/>
                <w:highlight w:val="black"/>
              </w:rPr>
              <w:t>xxxxxxx</w:t>
            </w:r>
            <w:proofErr w:type="spellEnd"/>
          </w:p>
        </w:tc>
      </w:tr>
    </w:tbl>
    <w:p w14:paraId="169856D4" w14:textId="77777777" w:rsidR="006D430A" w:rsidRDefault="006D430A">
      <w:pPr>
        <w:pStyle w:val="Answer"/>
        <w:suppressLineNumbers/>
      </w:pPr>
    </w:p>
    <w:p w14:paraId="169856D5" w14:textId="77777777" w:rsidR="006D430A" w:rsidRDefault="009E794D">
      <w:pPr>
        <w:pStyle w:val="Question"/>
      </w:pPr>
      <w:r>
        <w:t xml:space="preserve">PLEASE DESCRIBE THE ADVANTAGES OF </w:t>
      </w:r>
      <w:proofErr w:type="spellStart"/>
      <w:r>
        <w:t>CCCT</w:t>
      </w:r>
      <w:proofErr w:type="spellEnd"/>
      <w:r>
        <w:t xml:space="preserve"> TECHNOLOGY. </w:t>
      </w:r>
    </w:p>
    <w:p w14:paraId="169856D6" w14:textId="77777777" w:rsidR="006D430A" w:rsidRDefault="009E794D">
      <w:pPr>
        <w:pStyle w:val="Answer"/>
      </w:pPr>
      <w:r>
        <w:t>A.</w:t>
      </w:r>
      <w:r>
        <w:tab/>
        <w:t>Operating combustion turbine generators in a combined cycle configuration for power generation is a proven process that offers high efficiency in converting fuel to electrical power, provides flexible load-following automatic generation control (“</w:t>
      </w:r>
      <w:proofErr w:type="spellStart"/>
      <w:r>
        <w:t>AGC</w:t>
      </w:r>
      <w:proofErr w:type="spellEnd"/>
      <w:r>
        <w:t xml:space="preserve">”) capability, and has the capability to cycle off-line and provide relatively short restart optionality. </w:t>
      </w:r>
    </w:p>
    <w:p w14:paraId="169856D7" w14:textId="2573DE9C" w:rsidR="006D430A" w:rsidRDefault="009E794D">
      <w:pPr>
        <w:pStyle w:val="Answer2"/>
      </w:pPr>
      <w:r>
        <w:t xml:space="preserve">The </w:t>
      </w:r>
      <w:proofErr w:type="spellStart"/>
      <w:r>
        <w:t>CCCT</w:t>
      </w:r>
      <w:proofErr w:type="spellEnd"/>
      <w:r>
        <w:t xml:space="preserve"> is able to achieve full power operation within a few hours of starting, thus providing flexibility for dispatching purposes and allowing the </w:t>
      </w:r>
      <w:proofErr w:type="spellStart"/>
      <w:r>
        <w:t>CCCT</w:t>
      </w:r>
      <w:proofErr w:type="spellEnd"/>
      <w:r>
        <w:t xml:space="preserve"> to shutdown overnight and restart the next morning to meet peak load capacity requirements.  Also, because </w:t>
      </w:r>
      <w:proofErr w:type="spellStart"/>
      <w:r>
        <w:t>CCCT</w:t>
      </w:r>
      <w:proofErr w:type="spellEnd"/>
      <w:r>
        <w:t xml:space="preserve"> technology utilizes natural gas, which has a </w:t>
      </w:r>
      <w:r>
        <w:rPr>
          <w:i/>
        </w:rPr>
        <w:t xml:space="preserve">de </w:t>
      </w:r>
      <w:proofErr w:type="spellStart"/>
      <w:r>
        <w:rPr>
          <w:i/>
        </w:rPr>
        <w:t>minimis</w:t>
      </w:r>
      <w:proofErr w:type="spellEnd"/>
      <w:r>
        <w:t xml:space="preserve"> sulfur content, it does not produce significant sulfur dioxide emissions.  </w:t>
      </w:r>
      <w:proofErr w:type="spellStart"/>
      <w:r>
        <w:t>CCCT</w:t>
      </w:r>
      <w:proofErr w:type="spellEnd"/>
      <w:r>
        <w:t xml:space="preserve"> technology is considered throughout the industry as the best available technology for limiting greenhouse gas emissions when combusting fossil fuels for electrical generation.  Additionally, the Company has evaluated control technology performance and costs </w:t>
      </w:r>
      <w:r>
        <w:lastRenderedPageBreak/>
        <w:t>and selected a variety of controls that will meet best available control technology (“</w:t>
      </w:r>
      <w:proofErr w:type="spellStart"/>
      <w:r>
        <w:t>BACT</w:t>
      </w:r>
      <w:proofErr w:type="spellEnd"/>
      <w:r>
        <w:t xml:space="preserve">”) standards for all affected pollutants (including greenhouse gas).  </w:t>
      </w:r>
      <w:bookmarkStart w:id="21" w:name="_Hlk82524569"/>
      <w:r w:rsidR="008814DA">
        <w:t>The future ability to use 100% hydrogen, which emits no carbon dioxide, will further improve the emissions profile of the unit.</w:t>
      </w:r>
      <w:bookmarkStart w:id="22" w:name="_GoBack"/>
      <w:bookmarkEnd w:id="21"/>
      <w:bookmarkEnd w:id="22"/>
    </w:p>
    <w:p w14:paraId="169856D8" w14:textId="77777777" w:rsidR="006D430A" w:rsidRDefault="006D430A">
      <w:pPr>
        <w:pStyle w:val="Answer"/>
      </w:pPr>
    </w:p>
    <w:p w14:paraId="169856D9" w14:textId="77777777" w:rsidR="006D430A" w:rsidRDefault="009E794D">
      <w:pPr>
        <w:pStyle w:val="Question"/>
      </w:pPr>
      <w:r>
        <w:t xml:space="preserve">DO THE ENTERGY operating companies HAVE EXPERIENCE WITH BUILDING </w:t>
      </w:r>
      <w:proofErr w:type="spellStart"/>
      <w:r>
        <w:t>CCCTS</w:t>
      </w:r>
      <w:proofErr w:type="spellEnd"/>
      <w:r>
        <w:t xml:space="preserve">? </w:t>
      </w:r>
    </w:p>
    <w:p w14:paraId="169856DA" w14:textId="77777777" w:rsidR="006D430A" w:rsidRDefault="009E794D">
      <w:pPr>
        <w:pStyle w:val="Answer"/>
      </w:pPr>
      <w:r>
        <w:t>A.</w:t>
      </w:r>
      <w:r>
        <w:tab/>
        <w:t xml:space="preserve">Yes, they have significant experience.  Entergy has constructed and placed into service four combined-cycle facilities in recent years.  </w:t>
      </w:r>
      <w:proofErr w:type="spellStart"/>
      <w:r>
        <w:t>ETI</w:t>
      </w:r>
      <w:proofErr w:type="spellEnd"/>
      <w:r>
        <w:t xml:space="preserve"> completed construction of </w:t>
      </w:r>
      <w:proofErr w:type="spellStart"/>
      <w:r>
        <w:t>MCPS</w:t>
      </w:r>
      <w:proofErr w:type="spellEnd"/>
      <w:r>
        <w:t xml:space="preserve"> in late 2020, and placed that facility in service on January 1, 2021.  The Company completed and tested </w:t>
      </w:r>
      <w:proofErr w:type="spellStart"/>
      <w:r>
        <w:t>MCPS</w:t>
      </w:r>
      <w:proofErr w:type="spellEnd"/>
      <w:r>
        <w:t xml:space="preserve"> and placed it in service about six months ahead of schedule, and at a total cost below the cost cap approved by the Commission in the </w:t>
      </w:r>
      <w:proofErr w:type="spellStart"/>
      <w:r>
        <w:t>MCPS</w:t>
      </w:r>
      <w:proofErr w:type="spellEnd"/>
      <w:r>
        <w:t xml:space="preserve"> </w:t>
      </w:r>
      <w:proofErr w:type="spellStart"/>
      <w:r>
        <w:t>CCN</w:t>
      </w:r>
      <w:proofErr w:type="spellEnd"/>
      <w:r>
        <w:t xml:space="preserve"> proceeding (Docket No. 46416).  Before the completion of </w:t>
      </w:r>
      <w:proofErr w:type="spellStart"/>
      <w:r>
        <w:t>MCPS</w:t>
      </w:r>
      <w:proofErr w:type="spellEnd"/>
      <w:r>
        <w:t xml:space="preserve">, Entergy Louisiana, LLC (“ELL”) constructed and placed in service the J. Wayne Leonard (formerly, St. Charles) Power Station in 2019 and the Lake Charles Power Station in 2020.  These two generation facilities are materially identical sister units to </w:t>
      </w:r>
      <w:proofErr w:type="spellStart"/>
      <w:r>
        <w:t>MCPS</w:t>
      </w:r>
      <w:proofErr w:type="spellEnd"/>
      <w:r>
        <w:t xml:space="preserve">.  In addition, ELL completed the </w:t>
      </w:r>
      <w:proofErr w:type="spellStart"/>
      <w:r>
        <w:t>Ninemile</w:t>
      </w:r>
      <w:proofErr w:type="spellEnd"/>
      <w:r>
        <w:t xml:space="preserve"> 6 plant, another self-build combined-cycle facility, in 2015, roughly 10% under budget and months ahead of its projected in-service date.  Each of these relatively new facilities </w:t>
      </w:r>
      <w:proofErr w:type="gramStart"/>
      <w:r>
        <w:t>are</w:t>
      </w:r>
      <w:proofErr w:type="gramEnd"/>
      <w:r>
        <w:t xml:space="preserve"> producing cost savings to Entergy customers.   </w:t>
      </w:r>
    </w:p>
    <w:p w14:paraId="169856DB" w14:textId="77777777" w:rsidR="006D430A" w:rsidRDefault="006D430A" w:rsidP="00C36FD9">
      <w:pPr>
        <w:pStyle w:val="Answer"/>
        <w:suppressLineNumbers/>
      </w:pPr>
    </w:p>
    <w:p w14:paraId="169856DC" w14:textId="77777777" w:rsidR="006D430A" w:rsidRDefault="009E794D">
      <w:pPr>
        <w:pStyle w:val="Question"/>
      </w:pPr>
      <w:r>
        <w:lastRenderedPageBreak/>
        <w:t xml:space="preserve">does the design of this project reflect storm resilience and hardening considerations? </w:t>
      </w:r>
    </w:p>
    <w:p w14:paraId="169856DD" w14:textId="77777777" w:rsidR="006D430A" w:rsidRDefault="009E794D">
      <w:pPr>
        <w:pStyle w:val="Answer"/>
        <w:rPr>
          <w:caps/>
        </w:rPr>
      </w:pPr>
      <w:r>
        <w:t>A.</w:t>
      </w:r>
      <w:r>
        <w:tab/>
        <w:t xml:space="preserve">Yes.  </w:t>
      </w:r>
      <w:proofErr w:type="spellStart"/>
      <w:r>
        <w:t>ETI</w:t>
      </w:r>
      <w:proofErr w:type="spellEnd"/>
      <w:r>
        <w:t xml:space="preserve"> has taken into account extreme weather conditions such as temperature, wind, and flooding in the design of OCAPS.  The Project’s current design allows the facility to continue conducting normal operations in temperatures as low as approximately 18 degrees Fahrenheit.  If temperatures fell to 15 degrees Fahrenheit or lower, combined with 20-mph or higher wind speeds, some additional measures could be required to sustain or resume normal operations.  </w:t>
      </w:r>
      <w:proofErr w:type="spellStart"/>
      <w:r>
        <w:t>ETI</w:t>
      </w:r>
      <w:proofErr w:type="spellEnd"/>
      <w:r>
        <w:t xml:space="preserve"> is continuing to analyze additional weatherization measures given recent weather events in Texas, and will implement any such measures in the final design if they are determined to be prudent and cost effective.  That said, several enhanced weatherization measures relative to </w:t>
      </w:r>
      <w:proofErr w:type="spellStart"/>
      <w:r>
        <w:t>ETI’s</w:t>
      </w:r>
      <w:proofErr w:type="spellEnd"/>
      <w:r>
        <w:t xml:space="preserve"> previous </w:t>
      </w:r>
      <w:proofErr w:type="spellStart"/>
      <w:r>
        <w:t>CCCT</w:t>
      </w:r>
      <w:proofErr w:type="spellEnd"/>
      <w:r>
        <w:t xml:space="preserve"> design (</w:t>
      </w:r>
      <w:r>
        <w:rPr>
          <w:i/>
        </w:rPr>
        <w:t>i.e.</w:t>
      </w:r>
      <w:r>
        <w:t xml:space="preserve">, that for </w:t>
      </w:r>
      <w:proofErr w:type="spellStart"/>
      <w:r>
        <w:t>MCPS</w:t>
      </w:r>
      <w:proofErr w:type="spellEnd"/>
      <w:r>
        <w:t xml:space="preserve">), as shown in the table below, have already been implemented in the OCAPS design and are thus accounted for in the cost estimates provided later in this testimony.       </w:t>
      </w:r>
    </w:p>
    <w:tbl>
      <w:tblPr>
        <w:tblW w:w="8506" w:type="dxa"/>
        <w:tblInd w:w="710" w:type="dxa"/>
        <w:tblLayout w:type="fixed"/>
        <w:tblCellMar>
          <w:left w:w="0" w:type="dxa"/>
          <w:right w:w="0" w:type="dxa"/>
        </w:tblCellMar>
        <w:tblLook w:val="04A0" w:firstRow="1" w:lastRow="0" w:firstColumn="1" w:lastColumn="0" w:noHBand="0" w:noVBand="1"/>
      </w:tblPr>
      <w:tblGrid>
        <w:gridCol w:w="1350"/>
        <w:gridCol w:w="3342"/>
        <w:gridCol w:w="3814"/>
      </w:tblGrid>
      <w:tr w:rsidR="006D430A" w14:paraId="169856E1" w14:textId="77777777">
        <w:trPr>
          <w:cantSplit/>
          <w:tblHeader/>
        </w:trPr>
        <w:tc>
          <w:tcPr>
            <w:tcW w:w="1350"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vAlign w:val="center"/>
            <w:hideMark/>
          </w:tcPr>
          <w:p w14:paraId="169856DE" w14:textId="77777777" w:rsidR="006D430A" w:rsidRDefault="009E794D">
            <w:pPr>
              <w:spacing w:before="60" w:after="120" w:line="240" w:lineRule="auto"/>
              <w:jc w:val="center"/>
              <w:rPr>
                <w:b/>
                <w:szCs w:val="24"/>
              </w:rPr>
            </w:pPr>
            <w:r>
              <w:rPr>
                <w:b/>
                <w:szCs w:val="24"/>
              </w:rPr>
              <w:t>Aspect</w:t>
            </w:r>
          </w:p>
        </w:tc>
        <w:tc>
          <w:tcPr>
            <w:tcW w:w="3342"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vAlign w:val="center"/>
            <w:hideMark/>
          </w:tcPr>
          <w:p w14:paraId="169856DF" w14:textId="77777777" w:rsidR="006D430A" w:rsidRDefault="009E794D">
            <w:pPr>
              <w:spacing w:before="60" w:after="120" w:line="240" w:lineRule="auto"/>
              <w:jc w:val="center"/>
              <w:rPr>
                <w:b/>
                <w:szCs w:val="24"/>
              </w:rPr>
            </w:pPr>
            <w:r>
              <w:rPr>
                <w:b/>
                <w:szCs w:val="24"/>
              </w:rPr>
              <w:t>Change</w:t>
            </w:r>
          </w:p>
        </w:tc>
        <w:tc>
          <w:tcPr>
            <w:tcW w:w="3814" w:type="dxa"/>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vAlign w:val="center"/>
            <w:hideMark/>
          </w:tcPr>
          <w:p w14:paraId="169856E0" w14:textId="77777777" w:rsidR="006D430A" w:rsidRDefault="009E794D">
            <w:pPr>
              <w:spacing w:before="60" w:after="120" w:line="240" w:lineRule="auto"/>
              <w:jc w:val="center"/>
              <w:rPr>
                <w:b/>
                <w:szCs w:val="24"/>
              </w:rPr>
            </w:pPr>
            <w:r>
              <w:rPr>
                <w:b/>
                <w:szCs w:val="24"/>
              </w:rPr>
              <w:t>Benefit</w:t>
            </w:r>
          </w:p>
        </w:tc>
      </w:tr>
      <w:tr w:rsidR="006D430A" w14:paraId="169856E5" w14:textId="77777777">
        <w:trPr>
          <w:cantSplit/>
        </w:trPr>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856E2" w14:textId="77777777" w:rsidR="006D430A" w:rsidRDefault="009E794D">
            <w:pPr>
              <w:spacing w:before="60" w:after="120" w:line="240" w:lineRule="auto"/>
              <w:jc w:val="both"/>
              <w:rPr>
                <w:szCs w:val="24"/>
              </w:rPr>
            </w:pPr>
            <w:r>
              <w:rPr>
                <w:szCs w:val="24"/>
              </w:rPr>
              <w:t>Cooling Tower Plume</w:t>
            </w:r>
          </w:p>
        </w:tc>
        <w:tc>
          <w:tcPr>
            <w:tcW w:w="33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E3" w14:textId="77777777" w:rsidR="006D430A" w:rsidRDefault="009E794D">
            <w:pPr>
              <w:spacing w:before="60" w:after="120" w:line="240" w:lineRule="auto"/>
              <w:jc w:val="both"/>
              <w:rPr>
                <w:szCs w:val="24"/>
              </w:rPr>
            </w:pPr>
            <w:r>
              <w:rPr>
                <w:szCs w:val="24"/>
              </w:rPr>
              <w:t>Relocation of the cooling tower further south and increasing its distance from the generating plant.</w:t>
            </w:r>
          </w:p>
        </w:tc>
        <w:tc>
          <w:tcPr>
            <w:tcW w:w="3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E4" w14:textId="77777777" w:rsidR="006D430A" w:rsidRDefault="009E794D">
            <w:pPr>
              <w:spacing w:before="60" w:after="120" w:line="240" w:lineRule="auto"/>
              <w:jc w:val="both"/>
              <w:rPr>
                <w:szCs w:val="24"/>
              </w:rPr>
            </w:pPr>
            <w:r>
              <w:rPr>
                <w:szCs w:val="24"/>
              </w:rPr>
              <w:t xml:space="preserve">This measure will mitigate pump air intake freezing due to enveloping by the cooling tower plume and northern winds.  </w:t>
            </w:r>
          </w:p>
        </w:tc>
      </w:tr>
      <w:tr w:rsidR="006D430A" w14:paraId="169856E9" w14:textId="77777777">
        <w:trPr>
          <w:cantSplit/>
        </w:trPr>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856E6" w14:textId="77777777" w:rsidR="006D430A" w:rsidRDefault="009E794D">
            <w:pPr>
              <w:spacing w:before="60" w:after="120" w:line="240" w:lineRule="auto"/>
              <w:jc w:val="both"/>
              <w:rPr>
                <w:szCs w:val="24"/>
              </w:rPr>
            </w:pPr>
            <w:r>
              <w:rPr>
                <w:szCs w:val="24"/>
              </w:rPr>
              <w:t>Drum End Enclosures</w:t>
            </w:r>
          </w:p>
        </w:tc>
        <w:tc>
          <w:tcPr>
            <w:tcW w:w="33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E7" w14:textId="77777777" w:rsidR="006D430A" w:rsidRDefault="009E794D">
            <w:pPr>
              <w:spacing w:before="60" w:after="120" w:line="240" w:lineRule="auto"/>
              <w:jc w:val="both"/>
              <w:rPr>
                <w:szCs w:val="24"/>
              </w:rPr>
            </w:pPr>
            <w:r>
              <w:rPr>
                <w:szCs w:val="24"/>
              </w:rPr>
              <w:t>Addition of permanent drum end enclosures into the design.</w:t>
            </w:r>
          </w:p>
        </w:tc>
        <w:tc>
          <w:tcPr>
            <w:tcW w:w="3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E8" w14:textId="77777777" w:rsidR="006D430A" w:rsidRDefault="009E794D">
            <w:pPr>
              <w:spacing w:before="60" w:after="120" w:line="240" w:lineRule="auto"/>
              <w:jc w:val="both"/>
              <w:rPr>
                <w:szCs w:val="24"/>
              </w:rPr>
            </w:pPr>
            <w:r>
              <w:rPr>
                <w:szCs w:val="24"/>
              </w:rPr>
              <w:t xml:space="preserve">This measure will eliminate the need for temporary shelters during winter preparations, and will provide more reliable protection for sensitive instruments above the </w:t>
            </w:r>
            <w:proofErr w:type="spellStart"/>
            <w:r>
              <w:rPr>
                <w:szCs w:val="24"/>
              </w:rPr>
              <w:t>HRSGs</w:t>
            </w:r>
            <w:proofErr w:type="spellEnd"/>
            <w:r>
              <w:rPr>
                <w:szCs w:val="24"/>
              </w:rPr>
              <w:t>.</w:t>
            </w:r>
          </w:p>
        </w:tc>
      </w:tr>
      <w:tr w:rsidR="006D430A" w14:paraId="169856ED" w14:textId="77777777">
        <w:trPr>
          <w:cantSplit/>
        </w:trPr>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856EA" w14:textId="77777777" w:rsidR="006D430A" w:rsidRDefault="009E794D">
            <w:pPr>
              <w:spacing w:before="60" w:after="120" w:line="240" w:lineRule="auto"/>
              <w:jc w:val="both"/>
              <w:rPr>
                <w:szCs w:val="24"/>
              </w:rPr>
            </w:pPr>
            <w:r>
              <w:rPr>
                <w:szCs w:val="24"/>
              </w:rPr>
              <w:t>Heat Trace Line End Indicator Lights</w:t>
            </w:r>
          </w:p>
        </w:tc>
        <w:tc>
          <w:tcPr>
            <w:tcW w:w="33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EB" w14:textId="77777777" w:rsidR="006D430A" w:rsidRDefault="009E794D">
            <w:pPr>
              <w:spacing w:before="60" w:after="120" w:line="240" w:lineRule="auto"/>
              <w:jc w:val="both"/>
              <w:rPr>
                <w:szCs w:val="24"/>
              </w:rPr>
            </w:pPr>
            <w:r>
              <w:rPr>
                <w:szCs w:val="24"/>
              </w:rPr>
              <w:t>Added into the project scope.</w:t>
            </w:r>
          </w:p>
        </w:tc>
        <w:tc>
          <w:tcPr>
            <w:tcW w:w="3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EC" w14:textId="77777777" w:rsidR="006D430A" w:rsidRDefault="009E794D">
            <w:pPr>
              <w:spacing w:before="60" w:after="120" w:line="240" w:lineRule="auto"/>
              <w:jc w:val="both"/>
              <w:rPr>
                <w:szCs w:val="24"/>
              </w:rPr>
            </w:pPr>
            <w:r>
              <w:rPr>
                <w:szCs w:val="24"/>
              </w:rPr>
              <w:t>This measure will provide an efficient and timely indication of heat trace system status on every line.</w:t>
            </w:r>
          </w:p>
        </w:tc>
      </w:tr>
      <w:tr w:rsidR="006D430A" w14:paraId="169856F1" w14:textId="77777777">
        <w:trPr>
          <w:cantSplit/>
        </w:trPr>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9856EE" w14:textId="77777777" w:rsidR="006D430A" w:rsidRDefault="009E794D">
            <w:pPr>
              <w:spacing w:before="60" w:after="120" w:line="240" w:lineRule="auto"/>
              <w:jc w:val="both"/>
              <w:rPr>
                <w:szCs w:val="24"/>
              </w:rPr>
            </w:pPr>
            <w:r>
              <w:rPr>
                <w:szCs w:val="24"/>
              </w:rPr>
              <w:lastRenderedPageBreak/>
              <w:t>Freeze Protection Design Criteria</w:t>
            </w:r>
          </w:p>
        </w:tc>
        <w:tc>
          <w:tcPr>
            <w:tcW w:w="33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EF" w14:textId="77777777" w:rsidR="006D430A" w:rsidRDefault="009E794D">
            <w:pPr>
              <w:spacing w:before="60" w:after="120" w:line="240" w:lineRule="auto"/>
              <w:jc w:val="both"/>
              <w:rPr>
                <w:szCs w:val="24"/>
              </w:rPr>
            </w:pPr>
            <w:r>
              <w:rPr>
                <w:szCs w:val="24"/>
              </w:rPr>
              <w:t>Clarified project specifications to improve the definition of “flow conditions” and the system types that require freeze protection for pipes greater than 2.5 inches in diameter.</w:t>
            </w:r>
          </w:p>
        </w:tc>
        <w:tc>
          <w:tcPr>
            <w:tcW w:w="38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856F0" w14:textId="77777777" w:rsidR="006D430A" w:rsidRDefault="009E794D">
            <w:pPr>
              <w:spacing w:before="60" w:after="120" w:line="240" w:lineRule="auto"/>
              <w:jc w:val="both"/>
              <w:rPr>
                <w:szCs w:val="24"/>
              </w:rPr>
            </w:pPr>
            <w:r>
              <w:rPr>
                <w:szCs w:val="24"/>
              </w:rPr>
              <w:t>This measure will enhance freeze protection for pipes with diameters greater than 2.5 inches.</w:t>
            </w:r>
          </w:p>
        </w:tc>
      </w:tr>
    </w:tbl>
    <w:p w14:paraId="169856F2" w14:textId="77777777" w:rsidR="006D430A" w:rsidRDefault="006D430A">
      <w:pPr>
        <w:pStyle w:val="Answer"/>
        <w:suppressLineNumbers/>
      </w:pPr>
    </w:p>
    <w:p w14:paraId="169856F3" w14:textId="77777777" w:rsidR="006D430A" w:rsidRDefault="009E794D">
      <w:pPr>
        <w:pStyle w:val="Answer2"/>
      </w:pPr>
      <w:r>
        <w:t xml:space="preserve">Furthermore, to gain a better understanding of flood potential and to provide a forward-looking climate resilient design, </w:t>
      </w:r>
      <w:proofErr w:type="spellStart"/>
      <w:r>
        <w:t>ETI</w:t>
      </w:r>
      <w:proofErr w:type="spellEnd"/>
      <w:r>
        <w:t xml:space="preserve"> engaged Jupiter Intelligence, a climate study consultant, to provide unique computer modeling capabilities for flooding, storm surges, and sea level rises.  After considering Jupiter Intelligence’s data (including analysis of a 500-year flood event with high sea level rise), an appropriate site grade elevation was analyzed.  Working with the </w:t>
      </w:r>
      <w:proofErr w:type="spellStart"/>
      <w:r>
        <w:t>EPC</w:t>
      </w:r>
      <w:proofErr w:type="spellEnd"/>
      <w:r>
        <w:t xml:space="preserve"> Consortium, it was determined that raising the site approximately three feet above the 100-year flood design elevation of 11 feet was appropriate.  This decision was further based on engineering judgment and analysis of geotechnical data.  When evaluating this 14-feet site grade, and considering thresholds for the plant’s major equipment, it was determined that a minimum protection level between 19 and 20 feet could be established.  This measure would provide flood protection of major equipment greater than the upper confidence levels through the majority of the 30-year design life of the plant.  The lowest threshold for equipment can be reasonably established at 16 feet, with a grade elevation of 14 feet.  This offers a full equipment flood protection in the upper third of the upper confidence interval, and at a level three feet higher than the worst flood known to have occurred on this site.  Based on this analysis, the base site elevation was set at 14 feet, which </w:t>
      </w:r>
      <w:r>
        <w:lastRenderedPageBreak/>
        <w:t xml:space="preserve">will effectively protect OCAPS against a 500-year flood event based on current climate models.  These flood protection design elements best position OCAPS to continue providing reliability in </w:t>
      </w:r>
      <w:proofErr w:type="spellStart"/>
      <w:r>
        <w:t>ETI’s</w:t>
      </w:r>
      <w:proofErr w:type="spellEnd"/>
      <w:r>
        <w:t xml:space="preserve"> storm-prone service territory.       </w:t>
      </w:r>
    </w:p>
    <w:p w14:paraId="169856F4" w14:textId="77777777" w:rsidR="006D430A" w:rsidRDefault="006D430A">
      <w:pPr>
        <w:pStyle w:val="Answer"/>
      </w:pPr>
    </w:p>
    <w:p w14:paraId="169856F5" w14:textId="77777777" w:rsidR="006D430A" w:rsidRDefault="009E794D">
      <w:pPr>
        <w:pStyle w:val="Heading1"/>
      </w:pPr>
      <w:bookmarkStart w:id="23" w:name="_Toc428209432"/>
      <w:bookmarkStart w:id="24" w:name="_Toc424909722"/>
      <w:bookmarkStart w:id="25" w:name="_Toc425143779"/>
      <w:bookmarkStart w:id="26" w:name="_Toc428171260"/>
      <w:bookmarkStart w:id="27" w:name="_Toc428171769"/>
      <w:bookmarkStart w:id="28" w:name="_Toc463456494"/>
      <w:bookmarkStart w:id="29" w:name="_Toc65862119"/>
      <w:bookmarkStart w:id="30" w:name="_Toc82444602"/>
      <w:r>
        <w:t xml:space="preserve">Submission of OCAPS into the 2020 </w:t>
      </w:r>
      <w:proofErr w:type="spellStart"/>
      <w:r>
        <w:t>ETI</w:t>
      </w:r>
      <w:proofErr w:type="spellEnd"/>
      <w:r>
        <w:t xml:space="preserve"> RFP</w:t>
      </w:r>
      <w:r>
        <w:br/>
        <w:t>for Market Testing</w:t>
      </w:r>
      <w:bookmarkEnd w:id="23"/>
      <w:bookmarkEnd w:id="24"/>
      <w:bookmarkEnd w:id="25"/>
      <w:bookmarkEnd w:id="26"/>
      <w:bookmarkEnd w:id="27"/>
      <w:bookmarkEnd w:id="28"/>
      <w:bookmarkEnd w:id="29"/>
      <w:bookmarkEnd w:id="30"/>
    </w:p>
    <w:p w14:paraId="169856F6" w14:textId="77777777" w:rsidR="006D430A" w:rsidRDefault="009E794D">
      <w:pPr>
        <w:pStyle w:val="Question"/>
      </w:pPr>
      <w:r>
        <w:t>WHAT ROLE DID THE CAPITAL PROJECTS GROUP HAVE IN THE DEVELOPMENT OF THis PROJECT?</w:t>
      </w:r>
    </w:p>
    <w:p w14:paraId="169856F7" w14:textId="77777777" w:rsidR="006D430A" w:rsidRDefault="009E794D">
      <w:pPr>
        <w:pStyle w:val="Answer"/>
      </w:pPr>
      <w:r>
        <w:t>A.</w:t>
      </w:r>
      <w:r>
        <w:tab/>
        <w:t xml:space="preserve">Capital Projects, along with the </w:t>
      </w:r>
      <w:proofErr w:type="spellStart"/>
      <w:r>
        <w:t>EPC</w:t>
      </w:r>
      <w:proofErr w:type="spellEnd"/>
      <w:r>
        <w:t xml:space="preserve"> Consortium and other consultants, provided the personnel and resources needed to develop the OCAPS self-build option, including the cost estimate that was submitted into the 2020 </w:t>
      </w:r>
      <w:proofErr w:type="spellStart"/>
      <w:r>
        <w:t>ETI</w:t>
      </w:r>
      <w:proofErr w:type="spellEnd"/>
      <w:r>
        <w:t xml:space="preserve"> RFP. </w:t>
      </w:r>
    </w:p>
    <w:p w14:paraId="169856F8" w14:textId="77777777" w:rsidR="006D430A" w:rsidRDefault="006D430A">
      <w:pPr>
        <w:pStyle w:val="Answer"/>
      </w:pPr>
    </w:p>
    <w:p w14:paraId="169856F9" w14:textId="77777777" w:rsidR="006D430A" w:rsidRDefault="009E794D">
      <w:pPr>
        <w:pStyle w:val="Question"/>
      </w:pPr>
      <w:r>
        <w:t>WHAT ROLE DID YOU PLAY IN THE DEVELOPMENT OF THis PROJECT?</w:t>
      </w:r>
    </w:p>
    <w:p w14:paraId="169856FA" w14:textId="77777777" w:rsidR="006D430A" w:rsidRDefault="009E794D">
      <w:pPr>
        <w:pStyle w:val="Answer"/>
      </w:pPr>
      <w:r>
        <w:t>A.</w:t>
      </w:r>
      <w:r>
        <w:tab/>
        <w:t xml:space="preserve">I have led the Project since the decision to develop the OCAPS self-build option.  Along with the self-build commercial team, I helped to prepare the project option and cost estimate that was market tested through the 2020 </w:t>
      </w:r>
      <w:proofErr w:type="spellStart"/>
      <w:r>
        <w:t>ETI</w:t>
      </w:r>
      <w:proofErr w:type="spellEnd"/>
      <w:r>
        <w:t xml:space="preserve"> RFP process.  Since that time, I have been responsible for the continued development of the Project, including negotiating the terms of the contracts under which OCAPS will ultimately be constructed.  I have operated independently from the team within the ESL organization that was responsible for developing, conducting, and evaluating the 2020 </w:t>
      </w:r>
      <w:proofErr w:type="spellStart"/>
      <w:r>
        <w:t>ETI</w:t>
      </w:r>
      <w:proofErr w:type="spellEnd"/>
      <w:r>
        <w:t xml:space="preserve"> RFP.  </w:t>
      </w:r>
    </w:p>
    <w:p w14:paraId="169856FB" w14:textId="77777777" w:rsidR="006D430A" w:rsidRDefault="006D430A" w:rsidP="00C36FD9">
      <w:pPr>
        <w:pStyle w:val="Answer"/>
        <w:suppressLineNumbers/>
      </w:pPr>
    </w:p>
    <w:p w14:paraId="169856FC" w14:textId="77777777" w:rsidR="006D430A" w:rsidRDefault="009E794D">
      <w:pPr>
        <w:pStyle w:val="Question"/>
      </w:pPr>
      <w:r>
        <w:lastRenderedPageBreak/>
        <w:t xml:space="preserve">DID YOU ABIDE BY SAFEGUARDS INTENDED TO ENSURE THAT THE 2020 </w:t>
      </w:r>
      <w:proofErr w:type="spellStart"/>
      <w:r>
        <w:t>ETI</w:t>
      </w:r>
      <w:proofErr w:type="spellEnd"/>
      <w:r>
        <w:t xml:space="preserve"> RFP PROCESS WAS CONDUCTED IN A FAIR AND IMPARTIAL MANNER?</w:t>
      </w:r>
    </w:p>
    <w:p w14:paraId="169856FD" w14:textId="77777777" w:rsidR="006D430A" w:rsidRDefault="009E794D">
      <w:pPr>
        <w:pStyle w:val="Answer"/>
      </w:pPr>
      <w:r>
        <w:t>A.</w:t>
      </w:r>
      <w:r>
        <w:tab/>
        <w:t xml:space="preserve">Yes.  The safeguards are described in detail in the direct testimonies of </w:t>
      </w:r>
      <w:proofErr w:type="spellStart"/>
      <w:r>
        <w:t>ETI</w:t>
      </w:r>
      <w:proofErr w:type="spellEnd"/>
      <w:r>
        <w:t xml:space="preserve"> witnesses </w:t>
      </w:r>
      <w:proofErr w:type="spellStart"/>
      <w:r>
        <w:t>Phong</w:t>
      </w:r>
      <w:proofErr w:type="spellEnd"/>
      <w:r>
        <w:t xml:space="preserve"> D. Nguyen and Wayne Oliver, the latter of whom served as the Independent Monitor (“IM”) for the 2020 </w:t>
      </w:r>
      <w:proofErr w:type="spellStart"/>
      <w:r>
        <w:t>ETI</w:t>
      </w:r>
      <w:proofErr w:type="spellEnd"/>
      <w:r>
        <w:t xml:space="preserve"> RFP.  With respect to those safeguards, members of the self-build commercial team executed and abided by the Self-Build Commercial Team Guidelines and Acknowledgement, which is attached hereto as Exhibit CR-1.  During the development of the self-build option and cost estimate, and during the pendency of the evaluation process, I did not engage in any professional contact with any members of the teams that were developing the 2020 </w:t>
      </w:r>
      <w:proofErr w:type="spellStart"/>
      <w:r>
        <w:t>ETI</w:t>
      </w:r>
      <w:proofErr w:type="spellEnd"/>
      <w:r>
        <w:t xml:space="preserve"> RFP or the evaluation protocols or processes, other than the limited communication that was provided for in the 2020 </w:t>
      </w:r>
      <w:proofErr w:type="spellStart"/>
      <w:r>
        <w:t>ETI</w:t>
      </w:r>
      <w:proofErr w:type="spellEnd"/>
      <w:r>
        <w:t xml:space="preserve"> RFP process, which was supervised by the IM.  In addition, together with the project development team, I participated in discussions with the IM and Burns &amp; McDonnell, the independent engineering firm that was retained to assist the IM in evaluating the reasonableness of the self-build cost estimate.  I kept the IM apprised of my activities with respect to OCAPS. </w:t>
      </w:r>
    </w:p>
    <w:p w14:paraId="169856FE" w14:textId="77777777" w:rsidR="006D430A" w:rsidRDefault="006D430A" w:rsidP="009E794D">
      <w:pPr>
        <w:pStyle w:val="Answer"/>
      </w:pPr>
    </w:p>
    <w:p w14:paraId="169856FF" w14:textId="77777777" w:rsidR="006D430A" w:rsidRDefault="009E794D">
      <w:pPr>
        <w:pStyle w:val="Question"/>
      </w:pPr>
      <w:r>
        <w:t>WHAT RESOURCES WERE UTILIZED TO DEVELOP THE OVERALL COST ESTIMATE?</w:t>
      </w:r>
    </w:p>
    <w:p w14:paraId="16985700" w14:textId="77777777" w:rsidR="006D430A" w:rsidRDefault="009E794D">
      <w:pPr>
        <w:pStyle w:val="Answer"/>
      </w:pPr>
      <w:r>
        <w:t>A.</w:t>
      </w:r>
      <w:r>
        <w:tab/>
        <w:t xml:space="preserve">The following resources were used to develop the Project’s two major cost components: </w:t>
      </w:r>
    </w:p>
    <w:p w14:paraId="16985701" w14:textId="6AF6091A" w:rsidR="006D430A" w:rsidRDefault="009E794D">
      <w:pPr>
        <w:pStyle w:val="ListParagraph"/>
        <w:numPr>
          <w:ilvl w:val="0"/>
          <w:numId w:val="8"/>
        </w:numPr>
        <w:ind w:left="1440" w:hanging="720"/>
        <w:jc w:val="both"/>
        <w:rPr>
          <w:rFonts w:eastAsia="Times New Roman"/>
          <w:szCs w:val="24"/>
        </w:rPr>
      </w:pPr>
      <w:proofErr w:type="spellStart"/>
      <w:r>
        <w:rPr>
          <w:rFonts w:eastAsia="Times New Roman"/>
          <w:szCs w:val="24"/>
        </w:rPr>
        <w:t>EPC</w:t>
      </w:r>
      <w:proofErr w:type="spellEnd"/>
      <w:r>
        <w:rPr>
          <w:rFonts w:eastAsia="Times New Roman"/>
          <w:szCs w:val="24"/>
        </w:rPr>
        <w:t xml:space="preserve"> agreement costs (“</w:t>
      </w:r>
      <w:proofErr w:type="spellStart"/>
      <w:r>
        <w:rPr>
          <w:rFonts w:eastAsia="Times New Roman"/>
          <w:szCs w:val="24"/>
        </w:rPr>
        <w:t>EPC</w:t>
      </w:r>
      <w:proofErr w:type="spellEnd"/>
      <w:r>
        <w:rPr>
          <w:rFonts w:eastAsia="Times New Roman"/>
          <w:szCs w:val="24"/>
        </w:rPr>
        <w:t xml:space="preserve"> Costs”)</w:t>
      </w:r>
      <w:r>
        <w:rPr>
          <w:rFonts w:eastAsia="Times New Roman"/>
          <w:b w:val="0"/>
          <w:szCs w:val="24"/>
        </w:rPr>
        <w:t xml:space="preserve">:  The </w:t>
      </w:r>
      <w:proofErr w:type="spellStart"/>
      <w:r>
        <w:rPr>
          <w:rFonts w:eastAsia="Times New Roman"/>
          <w:b w:val="0"/>
          <w:szCs w:val="24"/>
        </w:rPr>
        <w:t>EPC</w:t>
      </w:r>
      <w:proofErr w:type="spellEnd"/>
      <w:r>
        <w:rPr>
          <w:rFonts w:eastAsia="Times New Roman"/>
          <w:b w:val="0"/>
          <w:szCs w:val="24"/>
        </w:rPr>
        <w:t xml:space="preserve"> Consortium, at the request of ESL, provided a cost estimate based on preliminary engineering developed with </w:t>
      </w:r>
      <w:r>
        <w:rPr>
          <w:rFonts w:eastAsia="Times New Roman"/>
          <w:b w:val="0"/>
          <w:szCs w:val="24"/>
        </w:rPr>
        <w:lastRenderedPageBreak/>
        <w:t xml:space="preserve">the site specific information gathered by the project team.  </w:t>
      </w:r>
      <w:proofErr w:type="spellStart"/>
      <w:r>
        <w:rPr>
          <w:rFonts w:eastAsia="Times New Roman"/>
          <w:b w:val="0"/>
          <w:szCs w:val="24"/>
        </w:rPr>
        <w:t>MCPS</w:t>
      </w:r>
      <w:proofErr w:type="spellEnd"/>
      <w:r>
        <w:rPr>
          <w:rFonts w:eastAsia="Times New Roman"/>
          <w:b w:val="0"/>
          <w:szCs w:val="24"/>
        </w:rPr>
        <w:t xml:space="preserve"> best practices were applied into the design basis.  The </w:t>
      </w:r>
      <w:proofErr w:type="spellStart"/>
      <w:r>
        <w:rPr>
          <w:rFonts w:eastAsia="Times New Roman"/>
          <w:b w:val="0"/>
          <w:szCs w:val="24"/>
        </w:rPr>
        <w:t>EPC</w:t>
      </w:r>
      <w:proofErr w:type="spellEnd"/>
      <w:r>
        <w:rPr>
          <w:rFonts w:eastAsia="Times New Roman"/>
          <w:b w:val="0"/>
          <w:szCs w:val="24"/>
        </w:rPr>
        <w:t xml:space="preserve"> Consortium’s </w:t>
      </w:r>
      <w:proofErr w:type="spellStart"/>
      <w:r>
        <w:rPr>
          <w:rFonts w:eastAsia="Times New Roman"/>
          <w:b w:val="0"/>
          <w:szCs w:val="24"/>
        </w:rPr>
        <w:t>EPC</w:t>
      </w:r>
      <w:proofErr w:type="spellEnd"/>
      <w:r>
        <w:rPr>
          <w:rFonts w:eastAsia="Times New Roman"/>
          <w:b w:val="0"/>
          <w:szCs w:val="24"/>
        </w:rPr>
        <w:t xml:space="preserve"> estimate formed the basis of the </w:t>
      </w:r>
      <w:proofErr w:type="spellStart"/>
      <w:r>
        <w:rPr>
          <w:rFonts w:eastAsia="Times New Roman"/>
          <w:b w:val="0"/>
          <w:szCs w:val="24"/>
        </w:rPr>
        <w:t>EPC</w:t>
      </w:r>
      <w:proofErr w:type="spellEnd"/>
      <w:r>
        <w:rPr>
          <w:rFonts w:eastAsia="Times New Roman"/>
          <w:b w:val="0"/>
          <w:szCs w:val="24"/>
        </w:rPr>
        <w:t xml:space="preserve"> Costs contained in the self-build proposal. </w:t>
      </w:r>
    </w:p>
    <w:p w14:paraId="16985702" w14:textId="77777777" w:rsidR="006D430A" w:rsidRDefault="009E794D">
      <w:pPr>
        <w:pStyle w:val="ListParagraph"/>
        <w:numPr>
          <w:ilvl w:val="0"/>
          <w:numId w:val="8"/>
        </w:numPr>
        <w:ind w:left="1440" w:hanging="720"/>
        <w:jc w:val="both"/>
        <w:rPr>
          <w:szCs w:val="24"/>
        </w:rPr>
      </w:pPr>
      <w:r>
        <w:rPr>
          <w:rFonts w:eastAsia="Times New Roman"/>
          <w:szCs w:val="24"/>
        </w:rPr>
        <w:t xml:space="preserve">Costs outside of the </w:t>
      </w:r>
      <w:proofErr w:type="spellStart"/>
      <w:r>
        <w:rPr>
          <w:rFonts w:eastAsia="Times New Roman"/>
          <w:szCs w:val="24"/>
        </w:rPr>
        <w:t>EPC</w:t>
      </w:r>
      <w:proofErr w:type="spellEnd"/>
      <w:r>
        <w:rPr>
          <w:rFonts w:eastAsia="Times New Roman"/>
          <w:szCs w:val="24"/>
        </w:rPr>
        <w:t xml:space="preserve"> agreement (“Non-</w:t>
      </w:r>
      <w:proofErr w:type="spellStart"/>
      <w:r>
        <w:rPr>
          <w:rFonts w:eastAsia="Times New Roman"/>
          <w:szCs w:val="24"/>
        </w:rPr>
        <w:t>EPC</w:t>
      </w:r>
      <w:proofErr w:type="spellEnd"/>
      <w:r>
        <w:rPr>
          <w:rFonts w:eastAsia="Times New Roman"/>
          <w:szCs w:val="24"/>
        </w:rPr>
        <w:t xml:space="preserve"> Costs”): </w:t>
      </w:r>
      <w:r>
        <w:rPr>
          <w:b w:val="0"/>
          <w:szCs w:val="24"/>
        </w:rPr>
        <w:t>The self-build commercial team developed these costs using internal subject matter experts.  I will expand upon the components of the Non-</w:t>
      </w:r>
      <w:proofErr w:type="spellStart"/>
      <w:r>
        <w:rPr>
          <w:b w:val="0"/>
          <w:szCs w:val="24"/>
        </w:rPr>
        <w:t>EPC</w:t>
      </w:r>
      <w:proofErr w:type="spellEnd"/>
      <w:r>
        <w:rPr>
          <w:b w:val="0"/>
          <w:szCs w:val="24"/>
        </w:rPr>
        <w:t xml:space="preserve"> Costs later in this testimony. </w:t>
      </w:r>
    </w:p>
    <w:p w14:paraId="16985703" w14:textId="77777777" w:rsidR="006D430A" w:rsidRDefault="009E794D">
      <w:pPr>
        <w:pStyle w:val="Answer"/>
      </w:pPr>
      <w:r>
        <w:t xml:space="preserve"> </w:t>
      </w:r>
    </w:p>
    <w:p w14:paraId="16985704" w14:textId="77777777" w:rsidR="006D430A" w:rsidRDefault="009E794D">
      <w:pPr>
        <w:pStyle w:val="Question"/>
      </w:pPr>
      <w:r>
        <w:t xml:space="preserve">HOW DID THE SELF-BUILD COMMERCIAL TEAM INTERFACE WITH the ESL group responsible for administering the 2020 </w:t>
      </w:r>
      <w:proofErr w:type="spellStart"/>
      <w:r>
        <w:t>eti</w:t>
      </w:r>
      <w:proofErr w:type="spellEnd"/>
      <w:r>
        <w:t xml:space="preserve"> rfp?</w:t>
      </w:r>
    </w:p>
    <w:p w14:paraId="16985705" w14:textId="77777777" w:rsidR="006D430A" w:rsidRDefault="009E794D">
      <w:pPr>
        <w:pStyle w:val="Answer"/>
      </w:pPr>
      <w:r>
        <w:t>A.</w:t>
      </w:r>
      <w:r>
        <w:tab/>
        <w:t xml:space="preserve">Members of the self-build commercial team worked independently of other ESL personnel to develop designs, cost estimates, and schedules for OCAPS.  As stated, during the development of the proposal, any interactions between the self-build commercial team and other ESL personnel regarding the 2020 </w:t>
      </w:r>
      <w:proofErr w:type="spellStart"/>
      <w:r>
        <w:t>ETI</w:t>
      </w:r>
      <w:proofErr w:type="spellEnd"/>
      <w:r>
        <w:t xml:space="preserve"> RFP or the self-build cost estimate submitted into that RFP were conducted under the oversight of the IM to ensure appropriate interaction between the commercial staff developing the OCAPS proposal and the staff preparing the RFP and the associated evaluation plan.  </w:t>
      </w:r>
    </w:p>
    <w:p w14:paraId="16985706" w14:textId="77777777" w:rsidR="006D430A" w:rsidRDefault="006D430A">
      <w:pPr>
        <w:pStyle w:val="Answer"/>
      </w:pPr>
    </w:p>
    <w:p w14:paraId="16985707" w14:textId="77777777" w:rsidR="006D430A" w:rsidRDefault="009E794D">
      <w:pPr>
        <w:pStyle w:val="Question"/>
      </w:pPr>
      <w:r>
        <w:t xml:space="preserve">WHAT COST ESTIMATE WAS SUBMITTED INTO THE 2020 </w:t>
      </w:r>
      <w:proofErr w:type="spellStart"/>
      <w:r>
        <w:t>ETI</w:t>
      </w:r>
      <w:proofErr w:type="spellEnd"/>
      <w:r>
        <w:t xml:space="preserve"> RFP?</w:t>
      </w:r>
    </w:p>
    <w:p w14:paraId="16985708" w14:textId="77777777" w:rsidR="006D430A" w:rsidRDefault="009E794D">
      <w:pPr>
        <w:pStyle w:val="Answer"/>
      </w:pPr>
      <w:r>
        <w:t>A.</w:t>
      </w:r>
      <w:r>
        <w:tab/>
        <w:t xml:space="preserve">The Project’s “best and final” cost estimate submitted in the 2020 </w:t>
      </w:r>
      <w:proofErr w:type="spellStart"/>
      <w:r>
        <w:t>ETI</w:t>
      </w:r>
      <w:proofErr w:type="spellEnd"/>
      <w:r>
        <w:t xml:space="preserve"> RFP was approximately $1.115 billion, which included both direct and indirect cost estimates, </w:t>
      </w:r>
      <w:proofErr w:type="spellStart"/>
      <w:r>
        <w:lastRenderedPageBreak/>
        <w:t>AFUDC</w:t>
      </w:r>
      <w:proofErr w:type="spellEnd"/>
      <w:r>
        <w:t>, contingency, and the costs of interconnection to the switchyard.</w:t>
      </w:r>
      <w:r>
        <w:rPr>
          <w:rStyle w:val="FootnoteReference"/>
          <w:rFonts w:cs="Arial"/>
        </w:rPr>
        <w:footnoteReference w:id="5"/>
      </w:r>
      <w:r>
        <w:t xml:space="preserve">  It is my understanding, however, that this estimate was further refined through the normal course of the 2020 </w:t>
      </w:r>
      <w:proofErr w:type="spellStart"/>
      <w:r>
        <w:t>ETI</w:t>
      </w:r>
      <w:proofErr w:type="spellEnd"/>
      <w:r>
        <w:t xml:space="preserve"> RFP evaluation process.  Specifically, Mr. Nguyen addresses the OCAPS project costs that were evaluated in the RFP.</w:t>
      </w:r>
    </w:p>
    <w:p w14:paraId="16985709" w14:textId="77777777" w:rsidR="006D430A" w:rsidRDefault="006D430A">
      <w:pPr>
        <w:pStyle w:val="Answer"/>
      </w:pPr>
    </w:p>
    <w:p w14:paraId="1698570A" w14:textId="77777777" w:rsidR="006D430A" w:rsidRDefault="009E794D">
      <w:pPr>
        <w:pStyle w:val="Question"/>
      </w:pPr>
      <w:r>
        <w:t>DID THE COST ESTIMATE FOR OCAPS INCLUDE A REASONABLE LEVEL OF DESIGN INFORMATION?</w:t>
      </w:r>
    </w:p>
    <w:p w14:paraId="1698570B" w14:textId="14F37057" w:rsidR="006D430A" w:rsidRDefault="009E794D">
      <w:pPr>
        <w:pStyle w:val="Answer"/>
        <w:rPr>
          <w:highlight w:val="yellow"/>
        </w:rPr>
      </w:pPr>
      <w:r>
        <w:t>A.</w:t>
      </w:r>
      <w:r>
        <w:tab/>
        <w:t xml:space="preserve">Yes.  The self-build commercial team, working with the </w:t>
      </w:r>
      <w:proofErr w:type="spellStart"/>
      <w:r>
        <w:t>EPC</w:t>
      </w:r>
      <w:proofErr w:type="spellEnd"/>
      <w:r>
        <w:t xml:space="preserve"> Consortium, developed a site-specific preliminary design and cost estimate.  As stated, the largest single component of the total Project cost estimate is the </w:t>
      </w:r>
      <w:proofErr w:type="spellStart"/>
      <w:r>
        <w:t>EPC</w:t>
      </w:r>
      <w:proofErr w:type="spellEnd"/>
      <w:r>
        <w:t xml:space="preserve"> Costs.  The </w:t>
      </w:r>
      <w:proofErr w:type="spellStart"/>
      <w:r>
        <w:t>EPC</w:t>
      </w:r>
      <w:proofErr w:type="spellEnd"/>
      <w:r>
        <w:t xml:space="preserve"> Consortium developed preliminary engineering using site specific detail for the design basis, incorporating the MPA 501 </w:t>
      </w:r>
      <w:proofErr w:type="spellStart"/>
      <w:r>
        <w:t>JAC</w:t>
      </w:r>
      <w:proofErr w:type="spellEnd"/>
      <w:r>
        <w:t xml:space="preserve">-series combustion turbines.  The </w:t>
      </w:r>
      <w:proofErr w:type="spellStart"/>
      <w:r>
        <w:t>EPC</w:t>
      </w:r>
      <w:proofErr w:type="spellEnd"/>
      <w:r>
        <w:t xml:space="preserve"> Consortium utilized job-specific general arrangement drawings, piping and instrument diagrams, computer models, arrangements sketches, and electrical one-line diagrams.  Quantities were developed to reflect the OCAPS site and process conditions utilizing input from the </w:t>
      </w:r>
      <w:proofErr w:type="spellStart"/>
      <w:r>
        <w:t>EPC</w:t>
      </w:r>
      <w:proofErr w:type="spellEnd"/>
      <w:r>
        <w:t xml:space="preserve"> Consortium’s current in-house estimates for similar </w:t>
      </w:r>
      <w:proofErr w:type="spellStart"/>
      <w:r>
        <w:t>CCCT</w:t>
      </w:r>
      <w:proofErr w:type="spellEnd"/>
      <w:r>
        <w:t xml:space="preserve"> projects updated to reflect specific layouts, processes, and design definition for the site.  Piping quantities were based on the development of a 3D plant model.  Major foundation quantities were developed assuming MPA 501 </w:t>
      </w:r>
      <w:proofErr w:type="spellStart"/>
      <w:r>
        <w:t>JAC</w:t>
      </w:r>
      <w:proofErr w:type="spellEnd"/>
      <w:r>
        <w:t xml:space="preserve"> combustion turbines, a steam turbine, and </w:t>
      </w:r>
      <w:proofErr w:type="spellStart"/>
      <w:r>
        <w:t>HRSGs</w:t>
      </w:r>
      <w:proofErr w:type="spellEnd"/>
      <w:r>
        <w:t xml:space="preserve">.  </w:t>
      </w:r>
    </w:p>
    <w:p w14:paraId="1698570C" w14:textId="77777777" w:rsidR="006D430A" w:rsidRDefault="009E794D">
      <w:pPr>
        <w:pStyle w:val="Answer2"/>
      </w:pPr>
      <w:r>
        <w:lastRenderedPageBreak/>
        <w:t>The design was reviewed by the self-build commercial team and was found to be reasonable.  In addition, I am aware that the independent engineering firm retained to assist the IM, Burns &amp; McDonnell, also reviewed the design and provided its opinions to the IM.  To my knowledge, the IM took no issue with the reasonableness of the design or cost estimate.</w:t>
      </w:r>
    </w:p>
    <w:p w14:paraId="1698570D" w14:textId="77777777" w:rsidR="006D430A" w:rsidRDefault="006D430A">
      <w:pPr>
        <w:pStyle w:val="Answer"/>
        <w:ind w:left="0" w:firstLine="0"/>
      </w:pPr>
    </w:p>
    <w:p w14:paraId="1698570E" w14:textId="77777777" w:rsidR="006D430A" w:rsidRDefault="009E794D">
      <w:pPr>
        <w:pStyle w:val="Question"/>
        <w:rPr>
          <w:b/>
        </w:rPr>
      </w:pPr>
      <w:r>
        <w:t>WHAT IS THE CURRENT CONFIGURATION OF THE SITE ON WHICH OCAPS will BE LOCATED?</w:t>
      </w:r>
    </w:p>
    <w:p w14:paraId="1698570F" w14:textId="77777777" w:rsidR="006D430A" w:rsidRDefault="009E794D">
      <w:pPr>
        <w:pStyle w:val="Answer"/>
        <w:rPr>
          <w:b/>
        </w:rPr>
      </w:pPr>
      <w:r>
        <w:t>A.</w:t>
      </w:r>
      <w:r>
        <w:tab/>
        <w:t xml:space="preserve">The Project is proposed to be located on the same parcel of land on which </w:t>
      </w:r>
      <w:proofErr w:type="spellStart"/>
      <w:r>
        <w:t>ETI’s</w:t>
      </w:r>
      <w:proofErr w:type="spellEnd"/>
      <w:r>
        <w:t xml:space="preserve"> existing Sabine station is located in Bridge City, near Orange, Texas.  The Project location is to the east of the existing units within the current Sabine property boundary.  For reference, I have attached Exhibits CR-2 through CR-5, which illustrate the OCAPS location and planned site improvements. </w:t>
      </w:r>
    </w:p>
    <w:p w14:paraId="16985710" w14:textId="77777777" w:rsidR="006D430A" w:rsidRDefault="009E794D">
      <w:pPr>
        <w:pStyle w:val="Answer"/>
      </w:pPr>
      <w:r>
        <w:t xml:space="preserve"> </w:t>
      </w:r>
    </w:p>
    <w:p w14:paraId="16985711" w14:textId="77777777" w:rsidR="006D430A" w:rsidRDefault="009E794D">
      <w:pPr>
        <w:pStyle w:val="Question"/>
      </w:pPr>
      <w:r>
        <w:t>IS THE PROJECT CONSTRUCTION PRICING FIXED?</w:t>
      </w:r>
    </w:p>
    <w:p w14:paraId="16985712" w14:textId="77777777" w:rsidR="006D430A" w:rsidRDefault="009E794D">
      <w:pPr>
        <w:pStyle w:val="Answer"/>
      </w:pPr>
      <w:r>
        <w:t>A.</w:t>
      </w:r>
      <w:r>
        <w:tab/>
        <w:t xml:space="preserve">Mainly, but not entirely.  As mentioned earlier, project costs consist of </w:t>
      </w:r>
      <w:proofErr w:type="spellStart"/>
      <w:r>
        <w:t>EPC</w:t>
      </w:r>
      <w:proofErr w:type="spellEnd"/>
      <w:r>
        <w:t xml:space="preserve"> Costs and Non-</w:t>
      </w:r>
      <w:proofErr w:type="spellStart"/>
      <w:r>
        <w:t>EPC</w:t>
      </w:r>
      <w:proofErr w:type="spellEnd"/>
      <w:r>
        <w:t xml:space="preserve"> Costs.  The Non-</w:t>
      </w:r>
      <w:proofErr w:type="spellStart"/>
      <w:r>
        <w:t>EPC</w:t>
      </w:r>
      <w:proofErr w:type="spellEnd"/>
      <w:r>
        <w:t xml:space="preserve"> Costs are not fixed.  Moreover, while the </w:t>
      </w:r>
      <w:proofErr w:type="spellStart"/>
      <w:r>
        <w:t>EPC</w:t>
      </w:r>
      <w:proofErr w:type="spellEnd"/>
      <w:r>
        <w:t xml:space="preserve"> contract price is fixed assuming the defined scope of work and a timely Limited Notice to Proceed (“</w:t>
      </w:r>
      <w:proofErr w:type="spellStart"/>
      <w:r>
        <w:t>LNTP</w:t>
      </w:r>
      <w:proofErr w:type="spellEnd"/>
      <w:r>
        <w:t xml:space="preserve">”), other factors such as changes in scope due to discovery of new facts, force majeure events, market escalation, delay in issuing notice to proceed, craft attraction needs, or changes in law could affect </w:t>
      </w:r>
      <w:proofErr w:type="spellStart"/>
      <w:r>
        <w:t>EPC</w:t>
      </w:r>
      <w:proofErr w:type="spellEnd"/>
      <w:r>
        <w:t xml:space="preserve"> Costs.  </w:t>
      </w:r>
    </w:p>
    <w:p w14:paraId="16985713" w14:textId="77777777" w:rsidR="006D430A" w:rsidRDefault="006D430A" w:rsidP="00C36FD9">
      <w:pPr>
        <w:pStyle w:val="Answer"/>
        <w:suppressLineNumbers/>
      </w:pPr>
    </w:p>
    <w:p w14:paraId="16985714" w14:textId="77777777" w:rsidR="006D430A" w:rsidRDefault="009E794D">
      <w:pPr>
        <w:pStyle w:val="Heading1"/>
      </w:pPr>
      <w:bookmarkStart w:id="31" w:name="_Toc295124934"/>
      <w:bookmarkStart w:id="32" w:name="_Toc428171261"/>
      <w:bookmarkStart w:id="33" w:name="_Toc428171770"/>
      <w:bookmarkStart w:id="34" w:name="_Toc428209433"/>
      <w:bookmarkStart w:id="35" w:name="_Toc463456496"/>
      <w:bookmarkStart w:id="36" w:name="_Toc65862121"/>
      <w:bookmarkStart w:id="37" w:name="_Toc82444603"/>
      <w:bookmarkEnd w:id="31"/>
      <w:r>
        <w:lastRenderedPageBreak/>
        <w:t>Estimated Project Cost and Schedule</w:t>
      </w:r>
      <w:bookmarkEnd w:id="32"/>
      <w:bookmarkEnd w:id="33"/>
      <w:bookmarkEnd w:id="34"/>
      <w:bookmarkEnd w:id="35"/>
      <w:bookmarkEnd w:id="36"/>
      <w:bookmarkEnd w:id="37"/>
    </w:p>
    <w:p w14:paraId="16985715" w14:textId="77777777" w:rsidR="006D430A" w:rsidRDefault="009E794D">
      <w:pPr>
        <w:pStyle w:val="Question"/>
      </w:pPr>
      <w:r>
        <w:t>WHAT IS THE CURRENT ESTIMATE OF THE CAPITAL COSTS TO COMPLETE the project?</w:t>
      </w:r>
    </w:p>
    <w:p w14:paraId="16985716" w14:textId="77777777" w:rsidR="006D430A" w:rsidRDefault="009E794D">
      <w:pPr>
        <w:pStyle w:val="Answer"/>
        <w:rPr>
          <w:b/>
          <w:highlight w:val="yellow"/>
        </w:rPr>
      </w:pPr>
      <w:r>
        <w:t>A.</w:t>
      </w:r>
      <w:r>
        <w:tab/>
        <w:t>The current capital cost estimate of OCAPS is approximately $1.19 billion.  This amount includes $1.11 billion associated with the generation portion of the Project, or roughly $911 per kW, and $85.9 million in estimated transmission interconnection and system upgrade costs.</w:t>
      </w:r>
      <w:r>
        <w:rPr>
          <w:rStyle w:val="FootnoteReference"/>
        </w:rPr>
        <w:footnoteReference w:id="6"/>
      </w:r>
      <w:r>
        <w:t xml:space="preserve">  A summary of the components of the current cost estimate is shown below:  </w:t>
      </w:r>
    </w:p>
    <w:p w14:paraId="16985717" w14:textId="77777777" w:rsidR="006D430A" w:rsidRDefault="009E794D">
      <w:pPr>
        <w:pStyle w:val="TableHeading"/>
        <w:rPr>
          <w:szCs w:val="24"/>
        </w:rPr>
      </w:pPr>
      <w:r>
        <w:t xml:space="preserve">Table 2: OCAPS Capital Cost Estimate (Millions) </w:t>
      </w:r>
    </w:p>
    <w:tbl>
      <w:tblPr>
        <w:tblW w:w="8152" w:type="dxa"/>
        <w:jc w:val="center"/>
        <w:tblLook w:val="0000" w:firstRow="0" w:lastRow="0" w:firstColumn="0" w:lastColumn="0" w:noHBand="0" w:noVBand="0"/>
      </w:tblPr>
      <w:tblGrid>
        <w:gridCol w:w="8152"/>
      </w:tblGrid>
      <w:tr w:rsidR="006D430A" w14:paraId="16985740" w14:textId="77777777">
        <w:trPr>
          <w:cantSplit/>
          <w:trHeight w:val="52"/>
          <w:jc w:val="center"/>
        </w:trPr>
        <w:tc>
          <w:tcPr>
            <w:tcW w:w="8152" w:type="dxa"/>
            <w:vAlign w:val="center"/>
          </w:tcPr>
          <w:tbl>
            <w:tblPr>
              <w:tblW w:w="7383" w:type="dxa"/>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753"/>
              <w:gridCol w:w="1630"/>
            </w:tblGrid>
            <w:tr w:rsidR="006D430A" w14:paraId="1698571A" w14:textId="77777777">
              <w:trPr>
                <w:trHeight w:val="45"/>
              </w:trPr>
              <w:tc>
                <w:tcPr>
                  <w:tcW w:w="5753" w:type="dxa"/>
                  <w:shd w:val="clear" w:color="auto" w:fill="BFBFBF" w:themeFill="background1" w:themeFillShade="BF"/>
                  <w:tcMar>
                    <w:top w:w="14" w:type="dxa"/>
                    <w:left w:w="72" w:type="dxa"/>
                    <w:bottom w:w="14" w:type="dxa"/>
                    <w:right w:w="14" w:type="dxa"/>
                  </w:tcMar>
                  <w:hideMark/>
                </w:tcPr>
                <w:p w14:paraId="16985718" w14:textId="77777777" w:rsidR="006D430A" w:rsidRDefault="006D430A">
                  <w:pPr>
                    <w:spacing w:line="240" w:lineRule="auto"/>
                    <w:jc w:val="both"/>
                    <w:rPr>
                      <w:color w:val="FFFFFF" w:themeColor="background1"/>
                      <w:szCs w:val="24"/>
                    </w:rPr>
                  </w:pPr>
                </w:p>
              </w:tc>
              <w:tc>
                <w:tcPr>
                  <w:tcW w:w="1630" w:type="dxa"/>
                  <w:shd w:val="clear" w:color="auto" w:fill="BFBFBF" w:themeFill="background1" w:themeFillShade="BF"/>
                </w:tcPr>
                <w:p w14:paraId="16985719" w14:textId="77777777" w:rsidR="006D430A" w:rsidRDefault="009E794D">
                  <w:pPr>
                    <w:spacing w:line="240" w:lineRule="auto"/>
                    <w:jc w:val="center"/>
                    <w:rPr>
                      <w:b/>
                      <w:bCs/>
                      <w:color w:val="FFFFFF" w:themeColor="background1"/>
                      <w:kern w:val="24"/>
                      <w:szCs w:val="24"/>
                    </w:rPr>
                  </w:pPr>
                  <w:r>
                    <w:rPr>
                      <w:b/>
                      <w:bCs/>
                      <w:kern w:val="24"/>
                      <w:szCs w:val="24"/>
                    </w:rPr>
                    <w:t>Total</w:t>
                  </w:r>
                </w:p>
              </w:tc>
            </w:tr>
            <w:tr w:rsidR="006D430A" w14:paraId="1698571D" w14:textId="77777777">
              <w:trPr>
                <w:trHeight w:val="45"/>
              </w:trPr>
              <w:tc>
                <w:tcPr>
                  <w:tcW w:w="5753" w:type="dxa"/>
                  <w:shd w:val="clear" w:color="auto" w:fill="auto"/>
                  <w:tcMar>
                    <w:top w:w="14" w:type="dxa"/>
                    <w:left w:w="72" w:type="dxa"/>
                    <w:bottom w:w="14" w:type="dxa"/>
                    <w:right w:w="14" w:type="dxa"/>
                  </w:tcMar>
                  <w:hideMark/>
                </w:tcPr>
                <w:p w14:paraId="1698571B" w14:textId="77777777" w:rsidR="006D430A" w:rsidRDefault="009E794D">
                  <w:pPr>
                    <w:spacing w:line="240" w:lineRule="auto"/>
                    <w:jc w:val="both"/>
                    <w:textAlignment w:val="center"/>
                    <w:rPr>
                      <w:szCs w:val="24"/>
                    </w:rPr>
                  </w:pPr>
                  <w:r>
                    <w:rPr>
                      <w:kern w:val="24"/>
                      <w:szCs w:val="24"/>
                    </w:rPr>
                    <w:t xml:space="preserve">   </w:t>
                  </w:r>
                  <w:proofErr w:type="spellStart"/>
                  <w:r>
                    <w:rPr>
                      <w:kern w:val="24"/>
                      <w:szCs w:val="24"/>
                    </w:rPr>
                    <w:t>EPC</w:t>
                  </w:r>
                  <w:proofErr w:type="spellEnd"/>
                  <w:r>
                    <w:rPr>
                      <w:kern w:val="24"/>
                      <w:szCs w:val="24"/>
                    </w:rPr>
                    <w:t xml:space="preserve"> Contract</w:t>
                  </w:r>
                </w:p>
              </w:tc>
              <w:tc>
                <w:tcPr>
                  <w:tcW w:w="1630" w:type="dxa"/>
                  <w:tcMar>
                    <w:right w:w="101" w:type="dxa"/>
                  </w:tcMar>
                  <w:vAlign w:val="center"/>
                </w:tcPr>
                <w:p w14:paraId="1698571C" w14:textId="77777777" w:rsidR="006D430A" w:rsidRDefault="009E794D">
                  <w:pPr>
                    <w:tabs>
                      <w:tab w:val="right" w:pos="1422"/>
                    </w:tabs>
                    <w:spacing w:line="240" w:lineRule="auto"/>
                    <w:ind w:left="72"/>
                    <w:textAlignment w:val="center"/>
                    <w:rPr>
                      <w:kern w:val="24"/>
                      <w:szCs w:val="24"/>
                    </w:rPr>
                  </w:pPr>
                  <w:r>
                    <w:t xml:space="preserve">$ </w:t>
                  </w:r>
                  <w:r>
                    <w:tab/>
                    <w:t xml:space="preserve"> 858.5</w:t>
                  </w:r>
                </w:p>
              </w:tc>
            </w:tr>
            <w:tr w:rsidR="006D430A" w14:paraId="16985720" w14:textId="77777777">
              <w:trPr>
                <w:trHeight w:val="45"/>
              </w:trPr>
              <w:tc>
                <w:tcPr>
                  <w:tcW w:w="5753" w:type="dxa"/>
                  <w:shd w:val="clear" w:color="auto" w:fill="auto"/>
                  <w:tcMar>
                    <w:top w:w="14" w:type="dxa"/>
                    <w:left w:w="72" w:type="dxa"/>
                    <w:bottom w:w="14" w:type="dxa"/>
                    <w:right w:w="14" w:type="dxa"/>
                  </w:tcMar>
                  <w:vAlign w:val="center"/>
                  <w:hideMark/>
                </w:tcPr>
                <w:p w14:paraId="1698571E" w14:textId="77777777" w:rsidR="006D430A" w:rsidRDefault="009E794D">
                  <w:pPr>
                    <w:spacing w:line="240" w:lineRule="auto"/>
                    <w:jc w:val="both"/>
                    <w:textAlignment w:val="center"/>
                    <w:rPr>
                      <w:szCs w:val="24"/>
                    </w:rPr>
                  </w:pPr>
                  <w:r>
                    <w:rPr>
                      <w:rFonts w:eastAsiaTheme="minorEastAsia"/>
                      <w:kern w:val="24"/>
                      <w:szCs w:val="24"/>
                    </w:rPr>
                    <w:t xml:space="preserve">   Other Vendors</w:t>
                  </w:r>
                </w:p>
              </w:tc>
              <w:tc>
                <w:tcPr>
                  <w:tcW w:w="1630" w:type="dxa"/>
                  <w:tcMar>
                    <w:right w:w="101" w:type="dxa"/>
                  </w:tcMar>
                  <w:vAlign w:val="center"/>
                </w:tcPr>
                <w:p w14:paraId="1698571F" w14:textId="77777777" w:rsidR="006D430A" w:rsidRDefault="009E794D">
                  <w:pPr>
                    <w:tabs>
                      <w:tab w:val="right" w:pos="1422"/>
                    </w:tabs>
                    <w:spacing w:line="240" w:lineRule="auto"/>
                    <w:ind w:left="72"/>
                    <w:textAlignment w:val="center"/>
                  </w:pPr>
                  <w:r>
                    <w:t>$</w:t>
                  </w:r>
                  <w:r>
                    <w:tab/>
                    <w:t>66.4</w:t>
                  </w:r>
                </w:p>
              </w:tc>
            </w:tr>
            <w:tr w:rsidR="006D430A" w14:paraId="16985723" w14:textId="77777777">
              <w:trPr>
                <w:trHeight w:val="45"/>
              </w:trPr>
              <w:tc>
                <w:tcPr>
                  <w:tcW w:w="5753" w:type="dxa"/>
                  <w:shd w:val="clear" w:color="auto" w:fill="auto"/>
                  <w:tcMar>
                    <w:top w:w="14" w:type="dxa"/>
                    <w:left w:w="72" w:type="dxa"/>
                    <w:bottom w:w="14" w:type="dxa"/>
                    <w:right w:w="14" w:type="dxa"/>
                  </w:tcMar>
                  <w:vAlign w:val="center"/>
                  <w:hideMark/>
                </w:tcPr>
                <w:p w14:paraId="16985721" w14:textId="77777777" w:rsidR="006D430A" w:rsidRDefault="009E794D">
                  <w:pPr>
                    <w:spacing w:line="240" w:lineRule="auto"/>
                    <w:jc w:val="both"/>
                    <w:textAlignment w:val="center"/>
                    <w:rPr>
                      <w:szCs w:val="24"/>
                    </w:rPr>
                  </w:pPr>
                  <w:r>
                    <w:rPr>
                      <w:rFonts w:eastAsiaTheme="minorEastAsia"/>
                      <w:kern w:val="24"/>
                      <w:szCs w:val="24"/>
                    </w:rPr>
                    <w:t xml:space="preserve">   Entergy Labor</w:t>
                  </w:r>
                </w:p>
              </w:tc>
              <w:tc>
                <w:tcPr>
                  <w:tcW w:w="1630" w:type="dxa"/>
                  <w:tcMar>
                    <w:right w:w="101" w:type="dxa"/>
                  </w:tcMar>
                  <w:vAlign w:val="center"/>
                </w:tcPr>
                <w:p w14:paraId="16985722" w14:textId="77777777" w:rsidR="006D430A" w:rsidRDefault="009E794D">
                  <w:pPr>
                    <w:tabs>
                      <w:tab w:val="right" w:pos="1422"/>
                    </w:tabs>
                    <w:spacing w:line="240" w:lineRule="auto"/>
                    <w:ind w:left="72"/>
                    <w:textAlignment w:val="center"/>
                  </w:pPr>
                  <w:r>
                    <w:t>$</w:t>
                  </w:r>
                  <w:r>
                    <w:tab/>
                    <w:t>23.7</w:t>
                  </w:r>
                </w:p>
              </w:tc>
            </w:tr>
            <w:tr w:rsidR="006D430A" w14:paraId="16985726" w14:textId="77777777">
              <w:trPr>
                <w:trHeight w:val="45"/>
              </w:trPr>
              <w:tc>
                <w:tcPr>
                  <w:tcW w:w="5753" w:type="dxa"/>
                  <w:tcBorders>
                    <w:bottom w:val="single" w:sz="4" w:space="0" w:color="auto"/>
                  </w:tcBorders>
                  <w:shd w:val="clear" w:color="auto" w:fill="auto"/>
                  <w:tcMar>
                    <w:top w:w="14" w:type="dxa"/>
                    <w:left w:w="72" w:type="dxa"/>
                    <w:bottom w:w="14" w:type="dxa"/>
                    <w:right w:w="14" w:type="dxa"/>
                  </w:tcMar>
                  <w:vAlign w:val="center"/>
                  <w:hideMark/>
                </w:tcPr>
                <w:p w14:paraId="16985724" w14:textId="77777777" w:rsidR="006D430A" w:rsidRDefault="009E794D">
                  <w:pPr>
                    <w:spacing w:line="240" w:lineRule="auto"/>
                    <w:jc w:val="both"/>
                    <w:textAlignment w:val="center"/>
                    <w:rPr>
                      <w:szCs w:val="24"/>
                    </w:rPr>
                  </w:pPr>
                  <w:r>
                    <w:rPr>
                      <w:rFonts w:eastAsiaTheme="minorEastAsia"/>
                      <w:kern w:val="24"/>
                      <w:szCs w:val="24"/>
                    </w:rPr>
                    <w:t xml:space="preserve">   Other Expenses</w:t>
                  </w:r>
                </w:p>
              </w:tc>
              <w:tc>
                <w:tcPr>
                  <w:tcW w:w="1630" w:type="dxa"/>
                  <w:tcBorders>
                    <w:bottom w:val="single" w:sz="4" w:space="0" w:color="auto"/>
                  </w:tcBorders>
                  <w:tcMar>
                    <w:right w:w="101" w:type="dxa"/>
                  </w:tcMar>
                  <w:vAlign w:val="center"/>
                </w:tcPr>
                <w:p w14:paraId="16985725" w14:textId="77777777" w:rsidR="006D430A" w:rsidRDefault="009E794D">
                  <w:pPr>
                    <w:tabs>
                      <w:tab w:val="right" w:pos="1422"/>
                    </w:tabs>
                    <w:spacing w:line="240" w:lineRule="auto"/>
                    <w:ind w:left="72"/>
                    <w:textAlignment w:val="center"/>
                  </w:pPr>
                  <w:r>
                    <w:t>$</w:t>
                  </w:r>
                  <w:r>
                    <w:tab/>
                    <w:t>5.4</w:t>
                  </w:r>
                </w:p>
              </w:tc>
            </w:tr>
            <w:tr w:rsidR="006D430A" w14:paraId="16985729" w14:textId="77777777">
              <w:trPr>
                <w:trHeight w:val="45"/>
              </w:trPr>
              <w:tc>
                <w:tcPr>
                  <w:tcW w:w="5753" w:type="dxa"/>
                  <w:shd w:val="clear" w:color="auto" w:fill="D9D9D9" w:themeFill="background1" w:themeFillShade="D9"/>
                  <w:tcMar>
                    <w:top w:w="14" w:type="dxa"/>
                    <w:left w:w="72" w:type="dxa"/>
                    <w:bottom w:w="14" w:type="dxa"/>
                    <w:right w:w="14" w:type="dxa"/>
                  </w:tcMar>
                </w:tcPr>
                <w:p w14:paraId="16985727" w14:textId="77777777" w:rsidR="006D430A" w:rsidRDefault="009E794D">
                  <w:pPr>
                    <w:spacing w:line="240" w:lineRule="auto"/>
                    <w:jc w:val="both"/>
                    <w:textAlignment w:val="center"/>
                    <w:rPr>
                      <w:kern w:val="24"/>
                      <w:szCs w:val="24"/>
                    </w:rPr>
                  </w:pPr>
                  <w:r>
                    <w:rPr>
                      <w:b/>
                      <w:kern w:val="24"/>
                      <w:szCs w:val="24"/>
                    </w:rPr>
                    <w:t>Total Direct Cost</w:t>
                  </w:r>
                </w:p>
              </w:tc>
              <w:tc>
                <w:tcPr>
                  <w:tcW w:w="1630" w:type="dxa"/>
                  <w:shd w:val="clear" w:color="auto" w:fill="D9D9D9" w:themeFill="background1" w:themeFillShade="D9"/>
                  <w:tcMar>
                    <w:right w:w="101" w:type="dxa"/>
                  </w:tcMar>
                  <w:vAlign w:val="center"/>
                </w:tcPr>
                <w:p w14:paraId="16985728" w14:textId="77777777" w:rsidR="006D430A" w:rsidRDefault="009E794D">
                  <w:pPr>
                    <w:tabs>
                      <w:tab w:val="right" w:pos="1422"/>
                    </w:tabs>
                    <w:spacing w:line="240" w:lineRule="auto"/>
                    <w:ind w:left="72"/>
                    <w:textAlignment w:val="center"/>
                    <w:rPr>
                      <w:b/>
                      <w:kern w:val="24"/>
                      <w:szCs w:val="24"/>
                    </w:rPr>
                  </w:pPr>
                  <w:r>
                    <w:t>$</w:t>
                  </w:r>
                  <w:r>
                    <w:tab/>
                  </w:r>
                  <w:r>
                    <w:rPr>
                      <w:b/>
                      <w:color w:val="000000"/>
                    </w:rPr>
                    <w:t>954.0</w:t>
                  </w:r>
                </w:p>
              </w:tc>
            </w:tr>
            <w:tr w:rsidR="006D430A" w14:paraId="1698572C" w14:textId="77777777">
              <w:trPr>
                <w:trHeight w:val="45"/>
              </w:trPr>
              <w:tc>
                <w:tcPr>
                  <w:tcW w:w="5753" w:type="dxa"/>
                  <w:shd w:val="clear" w:color="auto" w:fill="auto"/>
                  <w:tcMar>
                    <w:top w:w="14" w:type="dxa"/>
                    <w:left w:w="72" w:type="dxa"/>
                    <w:bottom w:w="14" w:type="dxa"/>
                    <w:right w:w="14" w:type="dxa"/>
                  </w:tcMar>
                  <w:hideMark/>
                </w:tcPr>
                <w:p w14:paraId="1698572A" w14:textId="77777777" w:rsidR="006D430A" w:rsidRDefault="009E794D">
                  <w:pPr>
                    <w:spacing w:line="240" w:lineRule="auto"/>
                    <w:jc w:val="both"/>
                    <w:textAlignment w:val="center"/>
                    <w:rPr>
                      <w:b/>
                      <w:szCs w:val="24"/>
                    </w:rPr>
                  </w:pPr>
                  <w:r>
                    <w:rPr>
                      <w:kern w:val="24"/>
                      <w:szCs w:val="24"/>
                    </w:rPr>
                    <w:t xml:space="preserve">   </w:t>
                  </w:r>
                  <w:proofErr w:type="spellStart"/>
                  <w:r>
                    <w:rPr>
                      <w:kern w:val="24"/>
                      <w:szCs w:val="24"/>
                    </w:rPr>
                    <w:t>AFUDC</w:t>
                  </w:r>
                  <w:proofErr w:type="spellEnd"/>
                </w:p>
              </w:tc>
              <w:tc>
                <w:tcPr>
                  <w:tcW w:w="1630" w:type="dxa"/>
                  <w:shd w:val="clear" w:color="auto" w:fill="auto"/>
                  <w:tcMar>
                    <w:right w:w="101" w:type="dxa"/>
                  </w:tcMar>
                  <w:vAlign w:val="center"/>
                </w:tcPr>
                <w:p w14:paraId="1698572B" w14:textId="77777777" w:rsidR="006D430A" w:rsidRDefault="009E794D">
                  <w:pPr>
                    <w:tabs>
                      <w:tab w:val="right" w:pos="1422"/>
                    </w:tabs>
                    <w:spacing w:line="240" w:lineRule="auto"/>
                    <w:ind w:left="72"/>
                    <w:textAlignment w:val="center"/>
                  </w:pPr>
                  <w:r>
                    <w:t>$</w:t>
                  </w:r>
                  <w:r>
                    <w:tab/>
                    <w:t>83.6</w:t>
                  </w:r>
                </w:p>
              </w:tc>
            </w:tr>
            <w:tr w:rsidR="006D430A" w14:paraId="1698572F" w14:textId="77777777">
              <w:trPr>
                <w:trHeight w:val="45"/>
              </w:trPr>
              <w:tc>
                <w:tcPr>
                  <w:tcW w:w="5753" w:type="dxa"/>
                  <w:tcBorders>
                    <w:bottom w:val="single" w:sz="4" w:space="0" w:color="auto"/>
                  </w:tcBorders>
                  <w:shd w:val="clear" w:color="auto" w:fill="auto"/>
                  <w:tcMar>
                    <w:top w:w="14" w:type="dxa"/>
                    <w:left w:w="72" w:type="dxa"/>
                    <w:bottom w:w="14" w:type="dxa"/>
                    <w:right w:w="14" w:type="dxa"/>
                  </w:tcMar>
                  <w:hideMark/>
                </w:tcPr>
                <w:p w14:paraId="1698572D" w14:textId="77777777" w:rsidR="006D430A" w:rsidRDefault="009E794D">
                  <w:pPr>
                    <w:spacing w:line="240" w:lineRule="auto"/>
                    <w:jc w:val="both"/>
                    <w:textAlignment w:val="center"/>
                    <w:rPr>
                      <w:szCs w:val="24"/>
                    </w:rPr>
                  </w:pPr>
                  <w:r>
                    <w:rPr>
                      <w:kern w:val="24"/>
                      <w:szCs w:val="24"/>
                    </w:rPr>
                    <w:t xml:space="preserve">   Other Indirect Costs</w:t>
                  </w:r>
                </w:p>
              </w:tc>
              <w:tc>
                <w:tcPr>
                  <w:tcW w:w="1630" w:type="dxa"/>
                  <w:tcBorders>
                    <w:bottom w:val="single" w:sz="4" w:space="0" w:color="auto"/>
                  </w:tcBorders>
                  <w:tcMar>
                    <w:right w:w="101" w:type="dxa"/>
                  </w:tcMar>
                  <w:vAlign w:val="center"/>
                </w:tcPr>
                <w:p w14:paraId="1698572E" w14:textId="77777777" w:rsidR="006D430A" w:rsidRDefault="009E794D">
                  <w:pPr>
                    <w:tabs>
                      <w:tab w:val="right" w:pos="1422"/>
                    </w:tabs>
                    <w:spacing w:line="240" w:lineRule="auto"/>
                    <w:ind w:left="72"/>
                    <w:textAlignment w:val="center"/>
                  </w:pPr>
                  <w:r>
                    <w:t>$</w:t>
                  </w:r>
                  <w:r>
                    <w:tab/>
                    <w:t>14.3</w:t>
                  </w:r>
                </w:p>
              </w:tc>
            </w:tr>
            <w:tr w:rsidR="006D430A" w14:paraId="16985732" w14:textId="77777777">
              <w:trPr>
                <w:trHeight w:val="45"/>
              </w:trPr>
              <w:tc>
                <w:tcPr>
                  <w:tcW w:w="5753" w:type="dxa"/>
                  <w:shd w:val="clear" w:color="auto" w:fill="D9D9D9" w:themeFill="background1" w:themeFillShade="D9"/>
                  <w:tcMar>
                    <w:top w:w="14" w:type="dxa"/>
                    <w:left w:w="72" w:type="dxa"/>
                    <w:bottom w:w="14" w:type="dxa"/>
                    <w:right w:w="14" w:type="dxa"/>
                  </w:tcMar>
                  <w:hideMark/>
                </w:tcPr>
                <w:p w14:paraId="16985730" w14:textId="77777777" w:rsidR="006D430A" w:rsidRDefault="009E794D">
                  <w:pPr>
                    <w:spacing w:line="240" w:lineRule="auto"/>
                    <w:jc w:val="both"/>
                    <w:textAlignment w:val="center"/>
                    <w:rPr>
                      <w:szCs w:val="24"/>
                    </w:rPr>
                  </w:pPr>
                  <w:r>
                    <w:rPr>
                      <w:b/>
                      <w:kern w:val="24"/>
                      <w:szCs w:val="24"/>
                    </w:rPr>
                    <w:t>Total Indirect Cost</w:t>
                  </w:r>
                </w:p>
              </w:tc>
              <w:tc>
                <w:tcPr>
                  <w:tcW w:w="1630" w:type="dxa"/>
                  <w:shd w:val="clear" w:color="auto" w:fill="D9D9D9" w:themeFill="background1" w:themeFillShade="D9"/>
                  <w:tcMar>
                    <w:right w:w="101" w:type="dxa"/>
                  </w:tcMar>
                  <w:vAlign w:val="center"/>
                </w:tcPr>
                <w:p w14:paraId="16985731" w14:textId="77777777" w:rsidR="006D430A" w:rsidRDefault="009E794D">
                  <w:pPr>
                    <w:tabs>
                      <w:tab w:val="right" w:pos="1422"/>
                    </w:tabs>
                    <w:spacing w:line="240" w:lineRule="auto"/>
                    <w:ind w:left="72"/>
                    <w:textAlignment w:val="center"/>
                    <w:rPr>
                      <w:b/>
                      <w:kern w:val="24"/>
                      <w:szCs w:val="24"/>
                    </w:rPr>
                  </w:pPr>
                  <w:r>
                    <w:t>$</w:t>
                  </w:r>
                  <w:r>
                    <w:tab/>
                  </w:r>
                  <w:r>
                    <w:rPr>
                      <w:b/>
                      <w:color w:val="000000"/>
                    </w:rPr>
                    <w:t>97.9</w:t>
                  </w:r>
                </w:p>
              </w:tc>
            </w:tr>
            <w:tr w:rsidR="006D430A" w14:paraId="16985735" w14:textId="77777777">
              <w:trPr>
                <w:trHeight w:val="35"/>
              </w:trPr>
              <w:tc>
                <w:tcPr>
                  <w:tcW w:w="5753" w:type="dxa"/>
                  <w:tcBorders>
                    <w:bottom w:val="single" w:sz="4" w:space="0" w:color="auto"/>
                  </w:tcBorders>
                  <w:shd w:val="clear" w:color="auto" w:fill="auto"/>
                  <w:tcMar>
                    <w:top w:w="14" w:type="dxa"/>
                    <w:left w:w="72" w:type="dxa"/>
                    <w:bottom w:w="14" w:type="dxa"/>
                    <w:right w:w="14" w:type="dxa"/>
                  </w:tcMar>
                  <w:hideMark/>
                </w:tcPr>
                <w:p w14:paraId="16985733" w14:textId="77777777" w:rsidR="006D430A" w:rsidRDefault="009E794D">
                  <w:pPr>
                    <w:spacing w:line="240" w:lineRule="auto"/>
                    <w:jc w:val="both"/>
                    <w:textAlignment w:val="center"/>
                    <w:rPr>
                      <w:b/>
                      <w:szCs w:val="24"/>
                    </w:rPr>
                  </w:pPr>
                  <w:r>
                    <w:rPr>
                      <w:rFonts w:eastAsiaTheme="minorEastAsia"/>
                      <w:kern w:val="24"/>
                      <w:szCs w:val="24"/>
                    </w:rPr>
                    <w:t xml:space="preserve">   Contingency</w:t>
                  </w:r>
                </w:p>
              </w:tc>
              <w:tc>
                <w:tcPr>
                  <w:tcW w:w="1630" w:type="dxa"/>
                  <w:tcBorders>
                    <w:bottom w:val="single" w:sz="4" w:space="0" w:color="auto"/>
                  </w:tcBorders>
                  <w:shd w:val="clear" w:color="auto" w:fill="auto"/>
                  <w:tcMar>
                    <w:right w:w="101" w:type="dxa"/>
                  </w:tcMar>
                  <w:vAlign w:val="center"/>
                </w:tcPr>
                <w:p w14:paraId="16985734" w14:textId="77777777" w:rsidR="006D430A" w:rsidRDefault="009E794D">
                  <w:pPr>
                    <w:tabs>
                      <w:tab w:val="right" w:pos="1422"/>
                    </w:tabs>
                    <w:spacing w:line="240" w:lineRule="auto"/>
                    <w:ind w:left="72"/>
                    <w:textAlignment w:val="center"/>
                  </w:pPr>
                  <w:r>
                    <w:t>$</w:t>
                  </w:r>
                  <w:r>
                    <w:tab/>
                    <w:t>55.3</w:t>
                  </w:r>
                </w:p>
              </w:tc>
            </w:tr>
            <w:tr w:rsidR="006D430A" w14:paraId="16985738" w14:textId="77777777">
              <w:trPr>
                <w:trHeight w:val="45"/>
              </w:trPr>
              <w:tc>
                <w:tcPr>
                  <w:tcW w:w="5753" w:type="dxa"/>
                  <w:shd w:val="clear" w:color="auto" w:fill="D9D9D9" w:themeFill="background1" w:themeFillShade="D9"/>
                  <w:tcMar>
                    <w:top w:w="14" w:type="dxa"/>
                    <w:left w:w="72" w:type="dxa"/>
                    <w:bottom w:w="14" w:type="dxa"/>
                    <w:right w:w="14" w:type="dxa"/>
                  </w:tcMar>
                  <w:hideMark/>
                </w:tcPr>
                <w:p w14:paraId="16985736" w14:textId="77777777" w:rsidR="006D430A" w:rsidRDefault="009E794D">
                  <w:pPr>
                    <w:spacing w:line="240" w:lineRule="auto"/>
                    <w:jc w:val="both"/>
                    <w:textAlignment w:val="center"/>
                    <w:rPr>
                      <w:szCs w:val="24"/>
                    </w:rPr>
                  </w:pPr>
                  <w:r>
                    <w:rPr>
                      <w:b/>
                      <w:kern w:val="24"/>
                      <w:szCs w:val="24"/>
                    </w:rPr>
                    <w:t>Generation Project Cost</w:t>
                  </w:r>
                </w:p>
              </w:tc>
              <w:tc>
                <w:tcPr>
                  <w:tcW w:w="1630" w:type="dxa"/>
                  <w:shd w:val="clear" w:color="auto" w:fill="D9D9D9" w:themeFill="background1" w:themeFillShade="D9"/>
                  <w:tcMar>
                    <w:right w:w="101" w:type="dxa"/>
                  </w:tcMar>
                  <w:vAlign w:val="center"/>
                </w:tcPr>
                <w:p w14:paraId="16985737" w14:textId="77777777" w:rsidR="006D430A" w:rsidRDefault="009E794D">
                  <w:pPr>
                    <w:tabs>
                      <w:tab w:val="right" w:pos="1422"/>
                    </w:tabs>
                    <w:spacing w:line="240" w:lineRule="auto"/>
                    <w:ind w:left="72"/>
                    <w:textAlignment w:val="center"/>
                    <w:rPr>
                      <w:b/>
                      <w:kern w:val="24"/>
                      <w:szCs w:val="24"/>
                    </w:rPr>
                  </w:pPr>
                  <w:r>
                    <w:t>$</w:t>
                  </w:r>
                  <w:r>
                    <w:tab/>
                  </w:r>
                  <w:r>
                    <w:rPr>
                      <w:b/>
                      <w:color w:val="000000"/>
                    </w:rPr>
                    <w:t>1,107.2</w:t>
                  </w:r>
                </w:p>
              </w:tc>
            </w:tr>
            <w:tr w:rsidR="006D430A" w14:paraId="1698573B" w14:textId="77777777">
              <w:trPr>
                <w:trHeight w:val="45"/>
              </w:trPr>
              <w:tc>
                <w:tcPr>
                  <w:tcW w:w="5753" w:type="dxa"/>
                  <w:tcBorders>
                    <w:bottom w:val="single" w:sz="4" w:space="0" w:color="auto"/>
                  </w:tcBorders>
                  <w:shd w:val="clear" w:color="auto" w:fill="D9D9D9" w:themeFill="background1" w:themeFillShade="D9"/>
                  <w:tcMar>
                    <w:top w:w="14" w:type="dxa"/>
                    <w:left w:w="72" w:type="dxa"/>
                    <w:bottom w:w="14" w:type="dxa"/>
                    <w:right w:w="14" w:type="dxa"/>
                  </w:tcMar>
                </w:tcPr>
                <w:p w14:paraId="16985739" w14:textId="77777777" w:rsidR="006D430A" w:rsidRDefault="009E794D">
                  <w:pPr>
                    <w:spacing w:line="240" w:lineRule="auto"/>
                    <w:jc w:val="both"/>
                    <w:textAlignment w:val="center"/>
                    <w:rPr>
                      <w:kern w:val="24"/>
                      <w:szCs w:val="24"/>
                    </w:rPr>
                  </w:pPr>
                  <w:r>
                    <w:rPr>
                      <w:rFonts w:eastAsiaTheme="minorEastAsia"/>
                      <w:b/>
                      <w:kern w:val="24"/>
                      <w:szCs w:val="24"/>
                    </w:rPr>
                    <w:t>Transmission Project Cost</w:t>
                  </w:r>
                </w:p>
              </w:tc>
              <w:tc>
                <w:tcPr>
                  <w:tcW w:w="1630" w:type="dxa"/>
                  <w:tcBorders>
                    <w:bottom w:val="single" w:sz="4" w:space="0" w:color="auto"/>
                  </w:tcBorders>
                  <w:shd w:val="clear" w:color="auto" w:fill="D9D9D9" w:themeFill="background1" w:themeFillShade="D9"/>
                  <w:tcMar>
                    <w:right w:w="101" w:type="dxa"/>
                  </w:tcMar>
                  <w:vAlign w:val="center"/>
                </w:tcPr>
                <w:p w14:paraId="1698573A" w14:textId="77777777" w:rsidR="006D430A" w:rsidRDefault="009E794D">
                  <w:pPr>
                    <w:tabs>
                      <w:tab w:val="right" w:pos="1422"/>
                    </w:tabs>
                    <w:spacing w:line="240" w:lineRule="auto"/>
                    <w:ind w:left="72"/>
                    <w:textAlignment w:val="center"/>
                    <w:rPr>
                      <w:b/>
                      <w:kern w:val="24"/>
                      <w:szCs w:val="24"/>
                    </w:rPr>
                  </w:pPr>
                  <w:r>
                    <w:t xml:space="preserve">$ </w:t>
                  </w:r>
                  <w:r>
                    <w:tab/>
                  </w:r>
                  <w:r>
                    <w:rPr>
                      <w:b/>
                      <w:color w:val="000000"/>
                    </w:rPr>
                    <w:t>85.9</w:t>
                  </w:r>
                </w:p>
              </w:tc>
            </w:tr>
            <w:tr w:rsidR="006D430A" w14:paraId="1698573E" w14:textId="77777777">
              <w:trPr>
                <w:trHeight w:val="92"/>
              </w:trPr>
              <w:tc>
                <w:tcPr>
                  <w:tcW w:w="5753" w:type="dxa"/>
                  <w:shd w:val="clear" w:color="auto" w:fill="BFBFBF" w:themeFill="background1" w:themeFillShade="BF"/>
                  <w:tcMar>
                    <w:top w:w="14" w:type="dxa"/>
                    <w:left w:w="72" w:type="dxa"/>
                    <w:bottom w:w="14" w:type="dxa"/>
                    <w:right w:w="14" w:type="dxa"/>
                  </w:tcMar>
                  <w:vAlign w:val="center"/>
                </w:tcPr>
                <w:p w14:paraId="1698573C" w14:textId="77777777" w:rsidR="006D430A" w:rsidRDefault="009E794D">
                  <w:pPr>
                    <w:spacing w:line="240" w:lineRule="auto"/>
                    <w:jc w:val="both"/>
                    <w:textAlignment w:val="center"/>
                    <w:rPr>
                      <w:kern w:val="24"/>
                      <w:szCs w:val="24"/>
                    </w:rPr>
                  </w:pPr>
                  <w:r>
                    <w:rPr>
                      <w:b/>
                      <w:kern w:val="24"/>
                      <w:szCs w:val="24"/>
                    </w:rPr>
                    <w:t>Total Project Cost</w:t>
                  </w:r>
                </w:p>
              </w:tc>
              <w:tc>
                <w:tcPr>
                  <w:tcW w:w="1630" w:type="dxa"/>
                  <w:shd w:val="clear" w:color="auto" w:fill="BFBFBF" w:themeFill="background1" w:themeFillShade="BF"/>
                  <w:tcMar>
                    <w:right w:w="101" w:type="dxa"/>
                  </w:tcMar>
                  <w:vAlign w:val="center"/>
                </w:tcPr>
                <w:p w14:paraId="1698573D" w14:textId="77777777" w:rsidR="006D430A" w:rsidRDefault="009E794D">
                  <w:pPr>
                    <w:tabs>
                      <w:tab w:val="right" w:pos="1422"/>
                    </w:tabs>
                    <w:spacing w:line="240" w:lineRule="auto"/>
                    <w:ind w:left="72"/>
                    <w:textAlignment w:val="center"/>
                    <w:rPr>
                      <w:b/>
                      <w:kern w:val="24"/>
                      <w:szCs w:val="24"/>
                    </w:rPr>
                  </w:pPr>
                  <w:r>
                    <w:t xml:space="preserve">$ </w:t>
                  </w:r>
                  <w:r>
                    <w:tab/>
                  </w:r>
                  <w:r>
                    <w:rPr>
                      <w:b/>
                      <w:color w:val="000000"/>
                    </w:rPr>
                    <w:t>1,193.1</w:t>
                  </w:r>
                </w:p>
              </w:tc>
            </w:tr>
          </w:tbl>
          <w:p w14:paraId="1698573F" w14:textId="77777777" w:rsidR="006D430A" w:rsidRDefault="006D430A">
            <w:pPr>
              <w:keepLines/>
              <w:autoSpaceDE w:val="0"/>
              <w:autoSpaceDN w:val="0"/>
              <w:adjustRightInd w:val="0"/>
              <w:spacing w:line="240" w:lineRule="auto"/>
              <w:rPr>
                <w:rFonts w:eastAsia="Times New Roman"/>
                <w:b/>
                <w:bCs/>
                <w:szCs w:val="24"/>
              </w:rPr>
            </w:pPr>
          </w:p>
        </w:tc>
      </w:tr>
    </w:tbl>
    <w:p w14:paraId="16985741" w14:textId="77777777" w:rsidR="006D430A" w:rsidRDefault="006D430A">
      <w:pPr>
        <w:pStyle w:val="Answer"/>
        <w:suppressLineNumbers/>
      </w:pPr>
    </w:p>
    <w:p w14:paraId="16985742" w14:textId="77777777" w:rsidR="006D430A" w:rsidRDefault="009E794D">
      <w:pPr>
        <w:pStyle w:val="Question"/>
      </w:pPr>
      <w:r>
        <w:lastRenderedPageBreak/>
        <w:t xml:space="preserve">WHY DOES THIS COST ESTIMATE DIFFER FROM THE ESTIMATE SUBMITTED INTO THE 2020 </w:t>
      </w:r>
      <w:proofErr w:type="spellStart"/>
      <w:r>
        <w:t>ETI</w:t>
      </w:r>
      <w:proofErr w:type="spellEnd"/>
      <w:r>
        <w:t xml:space="preserve"> RFP?</w:t>
      </w:r>
    </w:p>
    <w:p w14:paraId="16985743" w14:textId="77777777" w:rsidR="006D430A" w:rsidRDefault="009E794D">
      <w:pPr>
        <w:pStyle w:val="Answer"/>
      </w:pPr>
      <w:r>
        <w:t>A.</w:t>
      </w:r>
      <w:r>
        <w:tab/>
        <w:t>The changes to the cost estimate fall in two main categories, which are discussed in more detail by Mr. Nguyen.</w:t>
      </w:r>
    </w:p>
    <w:p w14:paraId="16985744" w14:textId="77777777" w:rsidR="006D430A" w:rsidRDefault="009E794D">
      <w:pPr>
        <w:pStyle w:val="Answer2"/>
      </w:pPr>
      <w:r>
        <w:t xml:space="preserve">First, approximately $65 million of the cost change reflects the Company’s decision to invest in other plant infrastructure needed to enable </w:t>
      </w:r>
      <w:proofErr w:type="spellStart"/>
      <w:r>
        <w:t>ETI</w:t>
      </w:r>
      <w:proofErr w:type="spellEnd"/>
      <w:r>
        <w:t xml:space="preserve"> to utilize OCAPS’ hydrogen co-firing capability at commercial operation.  This infrastructure includes, among other items, the hydrogen pipeline connection and compression, natural gas compression, hydrogen pipeline within the power plant boundary, gas blending skid, larger combustion turbine enclosures, and the hydrogen fuel to be used during commissioning and start-up.  This relatively modest investment in additional plant will also enable and significantly reduce the cost and time required for conversion to 100% hydrogen operations, as circumstances warrant.  </w:t>
      </w:r>
      <w:proofErr w:type="spellStart"/>
      <w:r>
        <w:t>ETI</w:t>
      </w:r>
      <w:proofErr w:type="spellEnd"/>
      <w:r>
        <w:t xml:space="preserve"> expects the savings on future conversion to 100% hydrogen operations to be in excess of $50 million and the outage time needed to complete the upgrade to be reduced by six months or more, which would provide additional savings due to avoiding the need to purchase more replacement power, as well as the reliability benefit of having OCAPS available to return to service earlier.</w:t>
      </w:r>
    </w:p>
    <w:p w14:paraId="16985745" w14:textId="77777777" w:rsidR="006D430A" w:rsidRDefault="009E794D">
      <w:pPr>
        <w:pStyle w:val="Answer2"/>
      </w:pPr>
      <w:r>
        <w:t>Second, the transmission capital cost estimate was revised to reflect the latest transmission cost estimate, which includes the addition of the Sabine switchyard flood protection and other minor adjustments.</w:t>
      </w:r>
    </w:p>
    <w:p w14:paraId="16985746" w14:textId="77777777" w:rsidR="006D430A" w:rsidRDefault="006D430A" w:rsidP="00C36FD9">
      <w:pPr>
        <w:pStyle w:val="Answer"/>
        <w:suppressLineNumbers/>
      </w:pPr>
    </w:p>
    <w:p w14:paraId="16985747" w14:textId="77777777" w:rsidR="006D430A" w:rsidRDefault="009E794D">
      <w:pPr>
        <w:pStyle w:val="Question"/>
      </w:pPr>
      <w:r>
        <w:lastRenderedPageBreak/>
        <w:t>HOW WERE THESE CAPITAL COST ESTIMATES PREPARED?</w:t>
      </w:r>
    </w:p>
    <w:p w14:paraId="16985748" w14:textId="7AA04FEB" w:rsidR="006D430A" w:rsidRDefault="009E794D">
      <w:pPr>
        <w:pStyle w:val="Answer"/>
        <w:rPr>
          <w:b/>
        </w:rPr>
      </w:pPr>
      <w:r>
        <w:t>A.</w:t>
      </w:r>
      <w:r>
        <w:tab/>
        <w:t xml:space="preserve">These estimates are derived primarily from the largest single cost component, the </w:t>
      </w:r>
      <w:proofErr w:type="spellStart"/>
      <w:r>
        <w:t>EPC</w:t>
      </w:r>
      <w:proofErr w:type="spellEnd"/>
      <w:r>
        <w:t xml:space="preserve"> agreement with the </w:t>
      </w:r>
      <w:proofErr w:type="spellStart"/>
      <w:r>
        <w:t>EPC</w:t>
      </w:r>
      <w:proofErr w:type="spellEnd"/>
      <w:r>
        <w:t xml:space="preserve"> Consortium.  As previously stated, the </w:t>
      </w:r>
      <w:proofErr w:type="spellStart"/>
      <w:r>
        <w:t>EPC</w:t>
      </w:r>
      <w:proofErr w:type="spellEnd"/>
      <w:r>
        <w:t xml:space="preserve"> Consortium consists of the companies that were selected to perform as the </w:t>
      </w:r>
      <w:proofErr w:type="spellStart"/>
      <w:r>
        <w:t>EPC</w:t>
      </w:r>
      <w:proofErr w:type="spellEnd"/>
      <w:r>
        <w:t xml:space="preserve"> contractor for OCAPS.  The </w:t>
      </w:r>
      <w:proofErr w:type="spellStart"/>
      <w:r>
        <w:t>EPC</w:t>
      </w:r>
      <w:proofErr w:type="spellEnd"/>
      <w:r>
        <w:t xml:space="preserve"> agreement includes a detailed scope of work describing the plant and its required functionality and performance, which was developed by the </w:t>
      </w:r>
      <w:proofErr w:type="spellStart"/>
      <w:r>
        <w:t>EPC</w:t>
      </w:r>
      <w:proofErr w:type="spellEnd"/>
      <w:r>
        <w:t xml:space="preserve"> Consortium based on the preliminary engineering described earlier in my testimony.  </w:t>
      </w:r>
    </w:p>
    <w:p w14:paraId="16985749" w14:textId="77777777" w:rsidR="006D430A" w:rsidRDefault="009E794D">
      <w:pPr>
        <w:pStyle w:val="Answer2"/>
      </w:pPr>
      <w:r>
        <w:t>Non-</w:t>
      </w:r>
      <w:proofErr w:type="spellStart"/>
      <w:r>
        <w:t>EPC</w:t>
      </w:r>
      <w:proofErr w:type="spellEnd"/>
      <w:r>
        <w:t xml:space="preserve"> Costs include project management and oversight (both internal and external services), inspections and testing, environmental permitting, pursuing regulatory approvals, temporary facilities and supplies, as well as </w:t>
      </w:r>
      <w:proofErr w:type="spellStart"/>
      <w:r>
        <w:t>AFUDC</w:t>
      </w:r>
      <w:proofErr w:type="spellEnd"/>
      <w:r>
        <w:t xml:space="preserve">.  The estimate for these costs was developed both from internal subject matter experts and third-party providers using the actual costs of </w:t>
      </w:r>
      <w:proofErr w:type="spellStart"/>
      <w:r>
        <w:t>MCPS</w:t>
      </w:r>
      <w:proofErr w:type="spellEnd"/>
      <w:r>
        <w:t>, the J. Wayne Leonard Power Station, and the Lake Charles Power Station as references.</w:t>
      </w:r>
    </w:p>
    <w:p w14:paraId="1698574A" w14:textId="77777777" w:rsidR="006D430A" w:rsidRDefault="009E794D" w:rsidP="00C36FD9">
      <w:pPr>
        <w:pStyle w:val="Answer"/>
      </w:pPr>
      <w:r>
        <w:t xml:space="preserve"> </w:t>
      </w:r>
    </w:p>
    <w:p w14:paraId="1698574B" w14:textId="77777777" w:rsidR="006D430A" w:rsidRDefault="009E794D">
      <w:pPr>
        <w:pStyle w:val="Question"/>
      </w:pPr>
      <w:r>
        <w:t xml:space="preserve">WHAT KINDS OF COSTS ARE INCLUDED IN THE </w:t>
      </w:r>
      <w:proofErr w:type="spellStart"/>
      <w:r>
        <w:t>EPC</w:t>
      </w:r>
      <w:proofErr w:type="spellEnd"/>
      <w:r>
        <w:t xml:space="preserve"> COST estimate?</w:t>
      </w:r>
    </w:p>
    <w:p w14:paraId="1698574C" w14:textId="77777777" w:rsidR="006D430A" w:rsidRDefault="009E794D">
      <w:pPr>
        <w:pStyle w:val="Answer"/>
      </w:pPr>
      <w:r>
        <w:t>A.</w:t>
      </w:r>
      <w:r>
        <w:tab/>
      </w:r>
      <w:proofErr w:type="spellStart"/>
      <w:r>
        <w:t>EPC</w:t>
      </w:r>
      <w:proofErr w:type="spellEnd"/>
      <w:r>
        <w:t xml:space="preserve"> Costs include costs that will be incurred by the </w:t>
      </w:r>
      <w:proofErr w:type="spellStart"/>
      <w:r>
        <w:t>EPC</w:t>
      </w:r>
      <w:proofErr w:type="spellEnd"/>
      <w:r>
        <w:t xml:space="preserve"> Consortium and billed to the Company in the performance of the </w:t>
      </w:r>
      <w:proofErr w:type="spellStart"/>
      <w:r>
        <w:t>EPC</w:t>
      </w:r>
      <w:proofErr w:type="spellEnd"/>
      <w:r>
        <w:t xml:space="preserve"> agreement, including the following:</w:t>
      </w:r>
    </w:p>
    <w:p w14:paraId="1698574D"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 xml:space="preserve">Engineered equipment, including the combustion turbine generators, steam turbine generator, </w:t>
      </w:r>
      <w:proofErr w:type="spellStart"/>
      <w:r>
        <w:rPr>
          <w:rFonts w:eastAsia="Times New Roman"/>
          <w:szCs w:val="24"/>
        </w:rPr>
        <w:t>HRSGs</w:t>
      </w:r>
      <w:proofErr w:type="spellEnd"/>
      <w:r>
        <w:rPr>
          <w:rFonts w:eastAsia="Times New Roman"/>
          <w:szCs w:val="24"/>
        </w:rPr>
        <w:t xml:space="preserve">, generator step-up transformers, boiler feed pumps, and auxiliary transformers; </w:t>
      </w:r>
    </w:p>
    <w:p w14:paraId="1698574E"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 xml:space="preserve">Home office engineering and construction management services, including procurement, project controls, scheduling, and progress tracking; </w:t>
      </w:r>
    </w:p>
    <w:p w14:paraId="1698574F"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 xml:space="preserve">Supervisory and administrative staffs at the construction site; </w:t>
      </w:r>
    </w:p>
    <w:p w14:paraId="16985750"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 xml:space="preserve">Craft laborers (such as welders, electricians, and pipefitters); </w:t>
      </w:r>
    </w:p>
    <w:p w14:paraId="16985751"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lastRenderedPageBreak/>
        <w:t xml:space="preserve">Construction materials (copper, steel, concrete, etc.) used by both the </w:t>
      </w:r>
      <w:proofErr w:type="spellStart"/>
      <w:r>
        <w:rPr>
          <w:rFonts w:eastAsia="Times New Roman"/>
          <w:szCs w:val="24"/>
        </w:rPr>
        <w:t>EPC</w:t>
      </w:r>
      <w:proofErr w:type="spellEnd"/>
      <w:r>
        <w:rPr>
          <w:rFonts w:eastAsia="Times New Roman"/>
          <w:szCs w:val="24"/>
        </w:rPr>
        <w:t xml:space="preserve"> Consortium and subcontractors; </w:t>
      </w:r>
    </w:p>
    <w:p w14:paraId="16985752"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Subcontractors;</w:t>
      </w:r>
    </w:p>
    <w:p w14:paraId="16985753"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 xml:space="preserve">The indirect construction costs that support the construction project (such as scaffolding, administrative offices, or safety equipment); </w:t>
      </w:r>
    </w:p>
    <w:p w14:paraId="16985754"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 xml:space="preserve">Sales taxes born by the </w:t>
      </w:r>
      <w:proofErr w:type="spellStart"/>
      <w:r>
        <w:rPr>
          <w:rFonts w:eastAsia="Times New Roman"/>
          <w:szCs w:val="24"/>
        </w:rPr>
        <w:t>EPC</w:t>
      </w:r>
      <w:proofErr w:type="spellEnd"/>
      <w:r>
        <w:rPr>
          <w:rFonts w:eastAsia="Times New Roman"/>
          <w:szCs w:val="24"/>
        </w:rPr>
        <w:t xml:space="preserve"> Consortium on consumables; and </w:t>
      </w:r>
    </w:p>
    <w:p w14:paraId="16985755" w14:textId="77777777" w:rsidR="006D430A" w:rsidRDefault="009E794D">
      <w:pPr>
        <w:numPr>
          <w:ilvl w:val="0"/>
          <w:numId w:val="2"/>
        </w:numPr>
        <w:spacing w:after="240" w:line="240" w:lineRule="auto"/>
        <w:ind w:left="1440" w:hanging="720"/>
        <w:jc w:val="both"/>
        <w:rPr>
          <w:rFonts w:eastAsia="Times New Roman"/>
          <w:szCs w:val="24"/>
        </w:rPr>
      </w:pPr>
      <w:r>
        <w:rPr>
          <w:rFonts w:eastAsia="Times New Roman"/>
          <w:szCs w:val="24"/>
        </w:rPr>
        <w:t xml:space="preserve">Labor and materials associated with the dedicated start-up and commissioning teams.  </w:t>
      </w:r>
    </w:p>
    <w:p w14:paraId="16985756" w14:textId="77777777" w:rsidR="006D430A" w:rsidRDefault="006D430A">
      <w:pPr>
        <w:pStyle w:val="Answer"/>
      </w:pPr>
    </w:p>
    <w:p w14:paraId="16985757" w14:textId="77777777" w:rsidR="006D430A" w:rsidRDefault="009E794D">
      <w:pPr>
        <w:pStyle w:val="Question"/>
      </w:pPr>
      <w:r>
        <w:t>WHAT COSTS ARE INCLUDED IN THE NON-</w:t>
      </w:r>
      <w:proofErr w:type="spellStart"/>
      <w:r>
        <w:t>EPC</w:t>
      </w:r>
      <w:proofErr w:type="spellEnd"/>
      <w:r>
        <w:t xml:space="preserve"> COST ESTIMATE?</w:t>
      </w:r>
    </w:p>
    <w:p w14:paraId="16985758" w14:textId="77777777" w:rsidR="006D430A" w:rsidRDefault="009E794D">
      <w:pPr>
        <w:pStyle w:val="Answer"/>
      </w:pPr>
      <w:r>
        <w:t>A.</w:t>
      </w:r>
      <w:r>
        <w:tab/>
        <w:t>Costs included in the Non-</w:t>
      </w:r>
      <w:proofErr w:type="spellStart"/>
      <w:r>
        <w:t>EPC</w:t>
      </w:r>
      <w:proofErr w:type="spellEnd"/>
      <w:r>
        <w:t xml:space="preserve"> Cost estimate will be incurred by the Company directly and include:</w:t>
      </w:r>
    </w:p>
    <w:p w14:paraId="16985759" w14:textId="77777777" w:rsidR="006D430A" w:rsidRDefault="009E794D">
      <w:pPr>
        <w:spacing w:after="240" w:line="240" w:lineRule="auto"/>
        <w:ind w:left="1440" w:hanging="720"/>
        <w:jc w:val="both"/>
        <w:rPr>
          <w:rFonts w:eastAsia="Times New Roman"/>
          <w:b/>
          <w:szCs w:val="24"/>
        </w:rPr>
      </w:pPr>
      <w:r>
        <w:rPr>
          <w:rFonts w:eastAsia="Times New Roman"/>
          <w:szCs w:val="24"/>
        </w:rPr>
        <w:t>1.</w:t>
      </w:r>
      <w:r>
        <w:rPr>
          <w:rFonts w:eastAsia="Times New Roman"/>
          <w:szCs w:val="24"/>
        </w:rPr>
        <w:tab/>
      </w:r>
      <w:r>
        <w:rPr>
          <w:rFonts w:eastAsia="Times New Roman"/>
          <w:szCs w:val="24"/>
          <w:u w:val="single"/>
        </w:rPr>
        <w:t>Other Vendors and Expenses</w:t>
      </w:r>
      <w:r>
        <w:rPr>
          <w:rFonts w:eastAsia="Times New Roman"/>
          <w:szCs w:val="24"/>
        </w:rPr>
        <w:t>: There is a wide range of services captured in the Other Vendors category, which includes expenses such as contract personnel on the project management team, rental of temporary office trailers, construction power, environmental permitting services, the cost of permit applications, site inspections and surveys, transmission studies, gas pipeline charges during the construction period, gas used during commissioning, miscellaneous consumables related to safety and office supplies used during project execution, consultant fees, and non-</w:t>
      </w:r>
      <w:proofErr w:type="spellStart"/>
      <w:r>
        <w:rPr>
          <w:rFonts w:eastAsia="Times New Roman"/>
          <w:szCs w:val="24"/>
        </w:rPr>
        <w:t>EPC</w:t>
      </w:r>
      <w:proofErr w:type="spellEnd"/>
      <w:r>
        <w:rPr>
          <w:rFonts w:eastAsia="Times New Roman"/>
          <w:szCs w:val="24"/>
        </w:rPr>
        <w:t xml:space="preserve"> Consortium costs, etc.  The estimate for this line item was informed by the actual costs of </w:t>
      </w:r>
      <w:proofErr w:type="spellStart"/>
      <w:r>
        <w:rPr>
          <w:rFonts w:eastAsia="Times New Roman"/>
          <w:szCs w:val="24"/>
        </w:rPr>
        <w:t>MCPS</w:t>
      </w:r>
      <w:proofErr w:type="spellEnd"/>
      <w:r>
        <w:rPr>
          <w:rFonts w:eastAsia="Times New Roman"/>
          <w:szCs w:val="24"/>
        </w:rPr>
        <w:t xml:space="preserve"> and the Lake Charles Power Station.</w:t>
      </w:r>
    </w:p>
    <w:p w14:paraId="1698575A" w14:textId="77777777" w:rsidR="006D430A" w:rsidRDefault="009E794D">
      <w:pPr>
        <w:spacing w:after="240" w:line="240" w:lineRule="auto"/>
        <w:ind w:left="1440" w:hanging="720"/>
        <w:jc w:val="both"/>
        <w:rPr>
          <w:rFonts w:eastAsia="Times New Roman"/>
          <w:b/>
          <w:szCs w:val="24"/>
        </w:rPr>
      </w:pPr>
      <w:r>
        <w:rPr>
          <w:rFonts w:eastAsia="Times New Roman"/>
          <w:szCs w:val="24"/>
        </w:rPr>
        <w:t>2.</w:t>
      </w:r>
      <w:r>
        <w:rPr>
          <w:rFonts w:eastAsia="Times New Roman"/>
          <w:szCs w:val="24"/>
        </w:rPr>
        <w:tab/>
      </w:r>
      <w:r>
        <w:rPr>
          <w:rFonts w:eastAsia="Times New Roman"/>
          <w:szCs w:val="24"/>
          <w:u w:val="single"/>
        </w:rPr>
        <w:t>Entergy Project Management</w:t>
      </w:r>
      <w:r>
        <w:rPr>
          <w:rFonts w:eastAsia="Times New Roman"/>
          <w:szCs w:val="24"/>
        </w:rPr>
        <w:t>:  Project management costs include internal labor and third-party costs for activities such as project oversight and environmental permitting.  Construction management includes internal and third-party personnel to manage any agreements to engineer, procure, and construct the project.</w:t>
      </w:r>
    </w:p>
    <w:p w14:paraId="1698575B" w14:textId="77777777" w:rsidR="006D430A" w:rsidRDefault="009E794D">
      <w:pPr>
        <w:spacing w:after="240" w:line="240" w:lineRule="auto"/>
        <w:ind w:left="1440" w:hanging="720"/>
        <w:jc w:val="both"/>
        <w:rPr>
          <w:rFonts w:eastAsia="Times New Roman"/>
          <w:szCs w:val="24"/>
        </w:rPr>
      </w:pPr>
      <w:r>
        <w:rPr>
          <w:rFonts w:eastAsia="Times New Roman"/>
          <w:szCs w:val="24"/>
        </w:rPr>
        <w:t>3.</w:t>
      </w:r>
      <w:r>
        <w:rPr>
          <w:rFonts w:eastAsia="Times New Roman"/>
          <w:szCs w:val="24"/>
        </w:rPr>
        <w:tab/>
      </w:r>
      <w:r>
        <w:rPr>
          <w:rFonts w:eastAsia="Times New Roman"/>
          <w:szCs w:val="24"/>
          <w:u w:val="single"/>
        </w:rPr>
        <w:t>Indirect Loaders</w:t>
      </w:r>
      <w:r>
        <w:rPr>
          <w:rFonts w:eastAsia="Times New Roman"/>
          <w:szCs w:val="24"/>
        </w:rPr>
        <w:t>: This category includes capital suspense estimated at 2% of all capital costs and a variable benefits loader.  All other payroll loaders are included in the direct costs of the other categories.</w:t>
      </w:r>
    </w:p>
    <w:p w14:paraId="1698575C" w14:textId="77777777" w:rsidR="006D430A" w:rsidRDefault="009E794D">
      <w:pPr>
        <w:spacing w:after="240" w:line="240" w:lineRule="auto"/>
        <w:ind w:left="1440" w:hanging="720"/>
        <w:jc w:val="both"/>
        <w:rPr>
          <w:rFonts w:eastAsia="Times New Roman"/>
          <w:szCs w:val="24"/>
        </w:rPr>
      </w:pPr>
      <w:r>
        <w:rPr>
          <w:rFonts w:eastAsia="Times New Roman"/>
          <w:szCs w:val="24"/>
        </w:rPr>
        <w:t>4.</w:t>
      </w:r>
      <w:r>
        <w:rPr>
          <w:rFonts w:eastAsia="Times New Roman"/>
          <w:szCs w:val="24"/>
        </w:rPr>
        <w:tab/>
      </w:r>
      <w:r>
        <w:rPr>
          <w:rFonts w:eastAsia="Times New Roman"/>
          <w:szCs w:val="24"/>
          <w:u w:val="single"/>
        </w:rPr>
        <w:t>Regulatory</w:t>
      </w:r>
      <w:r>
        <w:rPr>
          <w:rFonts w:eastAsia="Times New Roman"/>
          <w:szCs w:val="24"/>
        </w:rPr>
        <w:t>:  This category includes an estimate of the internal and external costs associated with obtaining Commission certification of the Project.</w:t>
      </w:r>
    </w:p>
    <w:p w14:paraId="1698575D" w14:textId="77777777" w:rsidR="006D430A" w:rsidRDefault="009E794D">
      <w:pPr>
        <w:spacing w:after="240" w:line="240" w:lineRule="auto"/>
        <w:ind w:left="1440" w:hanging="720"/>
        <w:jc w:val="both"/>
        <w:rPr>
          <w:rFonts w:eastAsia="Times New Roman"/>
          <w:szCs w:val="24"/>
        </w:rPr>
      </w:pPr>
      <w:r>
        <w:rPr>
          <w:rFonts w:eastAsia="Times New Roman"/>
          <w:szCs w:val="24"/>
        </w:rPr>
        <w:lastRenderedPageBreak/>
        <w:t>5.</w:t>
      </w:r>
      <w:r>
        <w:rPr>
          <w:rFonts w:eastAsia="Times New Roman"/>
          <w:szCs w:val="24"/>
        </w:rPr>
        <w:tab/>
      </w:r>
      <w:r>
        <w:rPr>
          <w:rFonts w:eastAsia="Times New Roman"/>
          <w:szCs w:val="24"/>
          <w:u w:val="single"/>
        </w:rPr>
        <w:t>Transmission Upgrades</w:t>
      </w:r>
      <w:r>
        <w:rPr>
          <w:rFonts w:eastAsia="Times New Roman"/>
          <w:szCs w:val="24"/>
        </w:rPr>
        <w:t>:  The amount in this category was based upon estimates for three general categories: (a) upgrades required for interconnection to the switchyard; (b) upgrades identified by MISO that are necessary to designate the resource as a Network Resource; and (c) upgrades identified by (</w:t>
      </w:r>
      <w:proofErr w:type="spellStart"/>
      <w:r>
        <w:rPr>
          <w:rFonts w:eastAsia="Times New Roman"/>
          <w:szCs w:val="24"/>
        </w:rPr>
        <w:t>i</w:t>
      </w:r>
      <w:proofErr w:type="spellEnd"/>
      <w:r>
        <w:rPr>
          <w:rFonts w:eastAsia="Times New Roman"/>
          <w:szCs w:val="24"/>
        </w:rPr>
        <w:t>) the Company that are necessary to mitigate any violations of the North American Electric Reliability Corporation (“</w:t>
      </w:r>
      <w:proofErr w:type="spellStart"/>
      <w:r>
        <w:rPr>
          <w:rFonts w:eastAsia="Times New Roman"/>
          <w:szCs w:val="24"/>
        </w:rPr>
        <w:t>NERC</w:t>
      </w:r>
      <w:proofErr w:type="spellEnd"/>
      <w:r>
        <w:rPr>
          <w:rFonts w:eastAsia="Times New Roman"/>
          <w:szCs w:val="24"/>
        </w:rPr>
        <w:t>”) Reliability Standards and/or Planning Criteria that are caused by the generator, or (ii)</w:t>
      </w:r>
      <w:r>
        <w:rPr>
          <w:rFonts w:eastAsia="Times New Roman"/>
          <w:kern w:val="32"/>
        </w:rPr>
        <w:t xml:space="preserve"> MISO that are necessary to designate the resource as an Energy Resource</w:t>
      </w:r>
      <w:r>
        <w:rPr>
          <w:rFonts w:eastAsia="Times New Roman"/>
          <w:szCs w:val="24"/>
        </w:rPr>
        <w:t xml:space="preserve">.   The estimated cost and scope of work for each of these categories is described further in the direct testimony of Mr.  Kline.  </w:t>
      </w:r>
    </w:p>
    <w:p w14:paraId="1698575E" w14:textId="77777777" w:rsidR="006D430A" w:rsidRDefault="009E794D">
      <w:pPr>
        <w:pStyle w:val="Answer2"/>
        <w:spacing w:line="240" w:lineRule="auto"/>
        <w:ind w:left="1440" w:hanging="720"/>
      </w:pPr>
      <w:r>
        <w:t>6.</w:t>
      </w:r>
      <w:r>
        <w:tab/>
      </w:r>
      <w:r>
        <w:rPr>
          <w:u w:val="single"/>
        </w:rPr>
        <w:t>Project Contingency</w:t>
      </w:r>
      <w:r>
        <w:t xml:space="preserve">: This is a general contingency that addresses the fact that construction projects of the cost magnitude and time duration of OCAPS have cost elements that are beyond the reasonable control of the Company and their management.  Even with a fixed-price </w:t>
      </w:r>
      <w:proofErr w:type="spellStart"/>
      <w:r>
        <w:t>EPC</w:t>
      </w:r>
      <w:proofErr w:type="spellEnd"/>
      <w:r>
        <w:t xml:space="preserve"> agreement and well-defined scope, experience demonstrates that unpredictable events, such as discovery of unknown site conditions or changes in laws or regulations, can require change orders that will affect project costs.  Thus, a contingency must be included in the estimate in order to provide a reasonable estimate of the ultimate cost to complete the Project.  The current Project estimate contains a contingency line item of approximately 5% of the total project costs, which is reasonable for a project of this nature.  </w:t>
      </w:r>
    </w:p>
    <w:p w14:paraId="1698575F" w14:textId="77777777" w:rsidR="006D430A" w:rsidRDefault="006D430A">
      <w:pPr>
        <w:pStyle w:val="Answer"/>
        <w:ind w:left="0" w:firstLine="0"/>
      </w:pPr>
    </w:p>
    <w:p w14:paraId="16985760" w14:textId="77777777" w:rsidR="006D430A" w:rsidRDefault="009E794D">
      <w:pPr>
        <w:pStyle w:val="Question"/>
      </w:pPr>
      <w:r>
        <w:t>DO YOU BELIEVE THAT THE PROJECT COST ESTIMATE IS A REASONABLE ESTIMATE OF THE OCAPS costs?</w:t>
      </w:r>
    </w:p>
    <w:p w14:paraId="16985761" w14:textId="27ED9502" w:rsidR="006D430A" w:rsidRDefault="009E794D">
      <w:pPr>
        <w:pStyle w:val="Answer"/>
      </w:pPr>
      <w:r>
        <w:t>A.</w:t>
      </w:r>
      <w:r>
        <w:tab/>
        <w:t xml:space="preserve">Yes.  The structure of the </w:t>
      </w:r>
      <w:proofErr w:type="spellStart"/>
      <w:r>
        <w:t>EPC</w:t>
      </w:r>
      <w:proofErr w:type="spellEnd"/>
      <w:r>
        <w:t xml:space="preserve"> agreement provides a level of certainty in the cost estimate for the generation portion of the Project.  Additionally, the self-build commercial team and the </w:t>
      </w:r>
      <w:proofErr w:type="spellStart"/>
      <w:r>
        <w:t>EPC</w:t>
      </w:r>
      <w:proofErr w:type="spellEnd"/>
      <w:r>
        <w:t xml:space="preserve"> Consortium spent considerable time developing a detailed scope of work in an effort to reduce the likelihood of change orders that may result in material cost increases.  Moreover, as an additional check on the accuracy of the </w:t>
      </w:r>
      <w:proofErr w:type="spellStart"/>
      <w:r>
        <w:t>EPC</w:t>
      </w:r>
      <w:proofErr w:type="spellEnd"/>
      <w:r>
        <w:t xml:space="preserve"> Consortium’s estimate, an independent </w:t>
      </w:r>
      <w:proofErr w:type="spellStart"/>
      <w:r>
        <w:t>EPC</w:t>
      </w:r>
      <w:proofErr w:type="spellEnd"/>
      <w:r>
        <w:t xml:space="preserve"> estimate from Black &amp; Veatch (“</w:t>
      </w:r>
      <w:proofErr w:type="spellStart"/>
      <w:r>
        <w:t>B&amp;V</w:t>
      </w:r>
      <w:proofErr w:type="spellEnd"/>
      <w:r>
        <w:t xml:space="preserve">”), a well-qualified </w:t>
      </w:r>
      <w:proofErr w:type="spellStart"/>
      <w:r>
        <w:t>EPC</w:t>
      </w:r>
      <w:proofErr w:type="spellEnd"/>
      <w:r>
        <w:t xml:space="preserve"> firm with recent construction experience with </w:t>
      </w:r>
      <w:proofErr w:type="spellStart"/>
      <w:r>
        <w:t>2x1</w:t>
      </w:r>
      <w:proofErr w:type="spellEnd"/>
      <w:r>
        <w:t xml:space="preserve"> </w:t>
      </w:r>
      <w:proofErr w:type="spellStart"/>
      <w:r>
        <w:t>CCCT</w:t>
      </w:r>
      <w:proofErr w:type="spellEnd"/>
      <w:r>
        <w:t xml:space="preserve"> units using the same MPA 501 </w:t>
      </w:r>
      <w:proofErr w:type="spellStart"/>
      <w:r>
        <w:t>JAC</w:t>
      </w:r>
      <w:proofErr w:type="spellEnd"/>
      <w:r>
        <w:t xml:space="preserve"> combustion turbines, was secured.  </w:t>
      </w:r>
    </w:p>
    <w:p w14:paraId="16985762" w14:textId="77777777" w:rsidR="006D430A" w:rsidRDefault="009E794D">
      <w:pPr>
        <w:pStyle w:val="Answer2"/>
      </w:pPr>
      <w:r>
        <w:lastRenderedPageBreak/>
        <w:t>These two independent estimates, execution knowledge gained from previous projects (</w:t>
      </w:r>
      <w:proofErr w:type="spellStart"/>
      <w:r>
        <w:t>MCPS</w:t>
      </w:r>
      <w:proofErr w:type="spellEnd"/>
      <w:r>
        <w:t xml:space="preserve">, J. Wayne Leonard Power Station, and Lake Charles Power Station), and the benchmark data provided by a third-party independent consultant (Power Advocate) gave the Company a level of confidence in the </w:t>
      </w:r>
      <w:proofErr w:type="spellStart"/>
      <w:r>
        <w:t>EPC</w:t>
      </w:r>
      <w:proofErr w:type="spellEnd"/>
      <w:r>
        <w:t xml:space="preserve"> Costs included in the overall cost estimate for the generation portion of the Project.  In addition, as stated earlier, I am aware that ESL retained Burns &amp; McDonnell to make an independent assessment of the cost estimate, which I understand was submitted to the IM. </w:t>
      </w:r>
    </w:p>
    <w:p w14:paraId="16985763" w14:textId="1B1DD7B5" w:rsidR="006D430A" w:rsidRDefault="009E794D">
      <w:pPr>
        <w:pStyle w:val="Answer2"/>
      </w:pPr>
      <w:r>
        <w:t>In addition, as more fully discussed in the direct testimony of Mr.  Kline, certain transmission cost estimates that are included in the overall Project cost estimate are subject to the final results of the MISO Interconnection Process, and those transmission costs are expected to be known by the second quarter of 2022.  However, the robust cost estimates for the potential transmission upgrades provided by Mr. Kline provide transparency regarding the likely order of magnitude of the transmission costs associated with OCAPS.  Inclusion of the estimated costs of transmission upgrades associated with the Project therefore bolster the reasonableness of the overall cost estimate for the Project.</w:t>
      </w:r>
    </w:p>
    <w:p w14:paraId="16985764" w14:textId="77777777" w:rsidR="006D430A" w:rsidRDefault="009E794D">
      <w:pPr>
        <w:pStyle w:val="Answer2"/>
      </w:pPr>
      <w:r>
        <w:t xml:space="preserve">The new unit will also require pipeline connections for both natural gas and hydrogen.  The natural gas and hydrogen connections and compressors are included in the estimate.  ESL’s Fuels group is in discussion with several potential natural gas pipelines to serve this new unit, all of whom have expressed an interest and intent to support the Project and construction schedule, pending the finalization of transportation contracts.  The commodity costs of fuel will be recovered through the Fixed Fuel Factor rate and, therefore, are not included in the pipeline cost estimate.  However, an estimate </w:t>
      </w:r>
      <w:r>
        <w:lastRenderedPageBreak/>
        <w:t>of gas supply charges during the period of construction and commissioning have been included in the Project cost estimate because these costs are incurred prior to the in-service date of the Project and capitalized in accordance with required utility accounting, as opposed to the ongoing cost of fuel and fuel transportation that are expense items recovered through the Fixed Fuel Factor.</w:t>
      </w:r>
    </w:p>
    <w:p w14:paraId="16985765" w14:textId="77777777" w:rsidR="006D430A" w:rsidRDefault="009E794D">
      <w:pPr>
        <w:pStyle w:val="Answer2"/>
      </w:pPr>
      <w:r>
        <w:t xml:space="preserve">Finally, as discussed below, the </w:t>
      </w:r>
      <w:proofErr w:type="spellStart"/>
      <w:r>
        <w:t>EPC</w:t>
      </w:r>
      <w:proofErr w:type="spellEnd"/>
      <w:r>
        <w:t xml:space="preserve"> Agreement will address potential market escalation affecting certain components of the Project cost through a true-up mechanism.  </w:t>
      </w:r>
    </w:p>
    <w:p w14:paraId="16985766" w14:textId="77777777" w:rsidR="006D430A" w:rsidRDefault="006D430A">
      <w:pPr>
        <w:pStyle w:val="Answer"/>
      </w:pPr>
    </w:p>
    <w:p w14:paraId="16985767" w14:textId="77777777" w:rsidR="006D430A" w:rsidRDefault="009E794D">
      <w:pPr>
        <w:pStyle w:val="Question"/>
      </w:pPr>
      <w:r>
        <w:t>WHAT ARE THE KEY MILESTONES IN THE ESTIMATED PROJECT SCHEDULE?</w:t>
      </w:r>
    </w:p>
    <w:p w14:paraId="16985768" w14:textId="77777777" w:rsidR="006D430A" w:rsidRDefault="009E794D">
      <w:pPr>
        <w:pStyle w:val="Answer"/>
      </w:pPr>
      <w:r>
        <w:t>A.</w:t>
      </w:r>
      <w:r>
        <w:tab/>
        <w:t xml:space="preserve">Substantial Completion </w:t>
      </w:r>
      <w:r w:rsidR="00BF78DC">
        <w:t xml:space="preserve">by the </w:t>
      </w:r>
      <w:proofErr w:type="spellStart"/>
      <w:r w:rsidR="00BF78DC">
        <w:t>EPC</w:t>
      </w:r>
      <w:proofErr w:type="spellEnd"/>
      <w:r w:rsidR="00BF78DC">
        <w:t xml:space="preserve"> Consortium </w:t>
      </w:r>
      <w:r>
        <w:t xml:space="preserve">is expected </w:t>
      </w:r>
      <w:r w:rsidR="00BF78DC">
        <w:t xml:space="preserve">in March 2026, with commercial operation expected </w:t>
      </w:r>
      <w:r>
        <w:t xml:space="preserve">by May 2026, 44 months after the </w:t>
      </w:r>
      <w:proofErr w:type="spellStart"/>
      <w:r>
        <w:t>LNTP</w:t>
      </w:r>
      <w:proofErr w:type="spellEnd"/>
      <w:r>
        <w:t xml:space="preserve">.  The </w:t>
      </w:r>
      <w:proofErr w:type="spellStart"/>
      <w:r>
        <w:t>EPC</w:t>
      </w:r>
      <w:proofErr w:type="spellEnd"/>
      <w:r>
        <w:t xml:space="preserve"> Consortium would receive incentives for early completion and be required to pay liquidated damages for delayed completion.  Some of the key milestones in the schedule are:</w:t>
      </w:r>
    </w:p>
    <w:p w14:paraId="16985769" w14:textId="77777777" w:rsidR="006D430A" w:rsidRDefault="009E794D">
      <w:pPr>
        <w:pStyle w:val="TableHeading"/>
      </w:pPr>
      <w:r>
        <w:lastRenderedPageBreak/>
        <w:t>Table 3: OCAPS Key Project Milestones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8"/>
        <w:gridCol w:w="2514"/>
      </w:tblGrid>
      <w:tr w:rsidR="006D430A" w14:paraId="1698576C" w14:textId="457C94B0">
        <w:trPr>
          <w:cantSplit/>
          <w:trHeight w:val="710"/>
          <w:tblHeader/>
          <w:jc w:val="center"/>
        </w:trPr>
        <w:tc>
          <w:tcPr>
            <w:tcW w:w="4188" w:type="dxa"/>
            <w:shd w:val="clear" w:color="auto" w:fill="D9D9D9" w:themeFill="background1" w:themeFillShade="D9"/>
            <w:vAlign w:val="center"/>
          </w:tcPr>
          <w:p w14:paraId="1698576A" w14:textId="77777777" w:rsidR="006D430A" w:rsidRDefault="009E794D">
            <w:pPr>
              <w:keepNext/>
              <w:spacing w:after="60" w:line="240" w:lineRule="auto"/>
              <w:jc w:val="center"/>
              <w:rPr>
                <w:rFonts w:eastAsia="Times New Roman"/>
                <w:b/>
              </w:rPr>
            </w:pPr>
            <w:bookmarkStart w:id="38" w:name="_Hlk75962606"/>
            <w:r>
              <w:rPr>
                <w:rFonts w:eastAsia="Times New Roman"/>
                <w:b/>
              </w:rPr>
              <w:t>Milestone</w:t>
            </w:r>
          </w:p>
        </w:tc>
        <w:tc>
          <w:tcPr>
            <w:tcW w:w="2514" w:type="dxa"/>
            <w:shd w:val="clear" w:color="auto" w:fill="D9D9D9" w:themeFill="background1" w:themeFillShade="D9"/>
            <w:vAlign w:val="center"/>
          </w:tcPr>
          <w:p w14:paraId="1698576B" w14:textId="77777777" w:rsidR="006D430A" w:rsidRDefault="009E794D">
            <w:pPr>
              <w:keepNext/>
              <w:spacing w:after="60" w:line="240" w:lineRule="auto"/>
              <w:jc w:val="center"/>
              <w:rPr>
                <w:rFonts w:eastAsia="Times New Roman"/>
                <w:b/>
              </w:rPr>
            </w:pPr>
            <w:r>
              <w:rPr>
                <w:rFonts w:eastAsia="Times New Roman"/>
                <w:b/>
              </w:rPr>
              <w:t>Date</w:t>
            </w:r>
          </w:p>
        </w:tc>
      </w:tr>
      <w:tr w:rsidR="006D430A" w14:paraId="1698576F" w14:textId="69E68E04">
        <w:trPr>
          <w:cantSplit/>
          <w:jc w:val="center"/>
        </w:trPr>
        <w:tc>
          <w:tcPr>
            <w:tcW w:w="4188" w:type="dxa"/>
            <w:tcBorders>
              <w:top w:val="nil"/>
              <w:left w:val="single" w:sz="8" w:space="0" w:color="auto"/>
              <w:bottom w:val="single" w:sz="8" w:space="0" w:color="auto"/>
              <w:right w:val="single" w:sz="8" w:space="0" w:color="auto"/>
            </w:tcBorders>
          </w:tcPr>
          <w:p w14:paraId="1698576D" w14:textId="77777777" w:rsidR="006D430A" w:rsidRDefault="009E794D">
            <w:pPr>
              <w:keepNext/>
              <w:spacing w:after="60" w:line="240" w:lineRule="auto"/>
              <w:jc w:val="both"/>
              <w:rPr>
                <w:rFonts w:eastAsia="Times New Roman"/>
              </w:rPr>
            </w:pPr>
            <w:r>
              <w:t>Limited Notice to Proceed</w:t>
            </w:r>
          </w:p>
        </w:tc>
        <w:tc>
          <w:tcPr>
            <w:tcW w:w="2514" w:type="dxa"/>
            <w:tcBorders>
              <w:top w:val="nil"/>
              <w:left w:val="nil"/>
              <w:bottom w:val="single" w:sz="8" w:space="0" w:color="auto"/>
              <w:right w:val="single" w:sz="8" w:space="0" w:color="auto"/>
            </w:tcBorders>
          </w:tcPr>
          <w:p w14:paraId="1698576E" w14:textId="77777777" w:rsidR="006D430A" w:rsidRDefault="009E794D">
            <w:pPr>
              <w:keepNext/>
              <w:spacing w:after="60" w:line="240" w:lineRule="auto"/>
              <w:jc w:val="center"/>
              <w:rPr>
                <w:rFonts w:eastAsia="Times New Roman"/>
              </w:rPr>
            </w:pPr>
            <w:r>
              <w:t>October 2022</w:t>
            </w:r>
          </w:p>
        </w:tc>
      </w:tr>
      <w:tr w:rsidR="006D430A" w14:paraId="16985772" w14:textId="15DF7B2E">
        <w:trPr>
          <w:cantSplit/>
          <w:jc w:val="center"/>
        </w:trPr>
        <w:tc>
          <w:tcPr>
            <w:tcW w:w="4188" w:type="dxa"/>
            <w:tcBorders>
              <w:top w:val="nil"/>
              <w:left w:val="single" w:sz="8" w:space="0" w:color="auto"/>
              <w:bottom w:val="single" w:sz="8" w:space="0" w:color="auto"/>
              <w:right w:val="single" w:sz="8" w:space="0" w:color="auto"/>
            </w:tcBorders>
          </w:tcPr>
          <w:p w14:paraId="16985770" w14:textId="77777777" w:rsidR="006D430A" w:rsidRDefault="009E794D">
            <w:pPr>
              <w:keepNext/>
              <w:spacing w:after="60" w:line="240" w:lineRule="auto"/>
              <w:jc w:val="both"/>
              <w:rPr>
                <w:rFonts w:eastAsia="Times New Roman"/>
              </w:rPr>
            </w:pPr>
            <w:r>
              <w:t>Place Major Equipment Orders</w:t>
            </w:r>
          </w:p>
        </w:tc>
        <w:tc>
          <w:tcPr>
            <w:tcW w:w="2514" w:type="dxa"/>
            <w:tcBorders>
              <w:top w:val="nil"/>
              <w:left w:val="nil"/>
              <w:bottom w:val="single" w:sz="8" w:space="0" w:color="auto"/>
              <w:right w:val="single" w:sz="8" w:space="0" w:color="auto"/>
            </w:tcBorders>
          </w:tcPr>
          <w:p w14:paraId="16985771" w14:textId="77777777" w:rsidR="006D430A" w:rsidRDefault="009E794D">
            <w:pPr>
              <w:keepNext/>
              <w:spacing w:after="60" w:line="240" w:lineRule="auto"/>
              <w:jc w:val="center"/>
              <w:rPr>
                <w:rFonts w:eastAsia="Times New Roman"/>
              </w:rPr>
            </w:pPr>
            <w:r>
              <w:t>October 2022</w:t>
            </w:r>
          </w:p>
        </w:tc>
      </w:tr>
      <w:tr w:rsidR="006D430A" w14:paraId="16985775" w14:textId="6962858E">
        <w:trPr>
          <w:cantSplit/>
          <w:jc w:val="center"/>
        </w:trPr>
        <w:tc>
          <w:tcPr>
            <w:tcW w:w="4188" w:type="dxa"/>
            <w:tcBorders>
              <w:top w:val="nil"/>
              <w:left w:val="single" w:sz="8" w:space="0" w:color="auto"/>
              <w:bottom w:val="single" w:sz="8" w:space="0" w:color="auto"/>
              <w:right w:val="single" w:sz="8" w:space="0" w:color="auto"/>
            </w:tcBorders>
          </w:tcPr>
          <w:p w14:paraId="16985773" w14:textId="77777777" w:rsidR="006D430A" w:rsidRDefault="009E794D">
            <w:pPr>
              <w:keepNext/>
              <w:spacing w:after="60" w:line="240" w:lineRule="auto"/>
              <w:jc w:val="both"/>
            </w:pPr>
            <w:r>
              <w:t>Expected Receipt of Air Permit</w:t>
            </w:r>
          </w:p>
        </w:tc>
        <w:tc>
          <w:tcPr>
            <w:tcW w:w="2514" w:type="dxa"/>
            <w:tcBorders>
              <w:top w:val="nil"/>
              <w:left w:val="nil"/>
              <w:bottom w:val="single" w:sz="8" w:space="0" w:color="auto"/>
              <w:right w:val="single" w:sz="8" w:space="0" w:color="auto"/>
            </w:tcBorders>
          </w:tcPr>
          <w:p w14:paraId="16985774" w14:textId="77777777" w:rsidR="006D430A" w:rsidRDefault="009E794D">
            <w:pPr>
              <w:keepNext/>
              <w:spacing w:after="60" w:line="240" w:lineRule="auto"/>
              <w:jc w:val="center"/>
            </w:pPr>
            <w:r>
              <w:t>January 2023</w:t>
            </w:r>
          </w:p>
        </w:tc>
      </w:tr>
      <w:tr w:rsidR="006D430A" w14:paraId="16985778" w14:textId="04E16459">
        <w:trPr>
          <w:cantSplit/>
          <w:jc w:val="center"/>
        </w:trPr>
        <w:tc>
          <w:tcPr>
            <w:tcW w:w="4188" w:type="dxa"/>
            <w:tcBorders>
              <w:top w:val="nil"/>
              <w:left w:val="single" w:sz="8" w:space="0" w:color="auto"/>
              <w:bottom w:val="single" w:sz="8" w:space="0" w:color="auto"/>
              <w:right w:val="single" w:sz="8" w:space="0" w:color="auto"/>
            </w:tcBorders>
          </w:tcPr>
          <w:p w14:paraId="16985776" w14:textId="77777777" w:rsidR="006D430A" w:rsidRDefault="009E794D">
            <w:pPr>
              <w:keepNext/>
              <w:spacing w:after="60" w:line="240" w:lineRule="auto"/>
              <w:jc w:val="both"/>
              <w:rPr>
                <w:rFonts w:eastAsia="Times New Roman"/>
              </w:rPr>
            </w:pPr>
            <w:proofErr w:type="spellStart"/>
            <w:r>
              <w:t>FNTP</w:t>
            </w:r>
            <w:proofErr w:type="spellEnd"/>
          </w:p>
        </w:tc>
        <w:tc>
          <w:tcPr>
            <w:tcW w:w="2514" w:type="dxa"/>
            <w:tcBorders>
              <w:top w:val="nil"/>
              <w:left w:val="nil"/>
              <w:bottom w:val="single" w:sz="8" w:space="0" w:color="auto"/>
              <w:right w:val="single" w:sz="8" w:space="0" w:color="auto"/>
            </w:tcBorders>
          </w:tcPr>
          <w:p w14:paraId="16985777" w14:textId="77777777" w:rsidR="006D430A" w:rsidRDefault="009E794D">
            <w:pPr>
              <w:keepNext/>
              <w:spacing w:after="60" w:line="240" w:lineRule="auto"/>
              <w:jc w:val="center"/>
              <w:rPr>
                <w:rFonts w:eastAsia="Times New Roman"/>
              </w:rPr>
            </w:pPr>
            <w:r>
              <w:t>May 2023</w:t>
            </w:r>
          </w:p>
        </w:tc>
      </w:tr>
      <w:tr w:rsidR="006D430A" w14:paraId="1698577B" w14:textId="377834BD">
        <w:trPr>
          <w:cantSplit/>
          <w:jc w:val="center"/>
        </w:trPr>
        <w:tc>
          <w:tcPr>
            <w:tcW w:w="4188" w:type="dxa"/>
            <w:tcBorders>
              <w:top w:val="nil"/>
              <w:left w:val="single" w:sz="8" w:space="0" w:color="auto"/>
              <w:bottom w:val="single" w:sz="8" w:space="0" w:color="auto"/>
              <w:right w:val="single" w:sz="8" w:space="0" w:color="auto"/>
            </w:tcBorders>
          </w:tcPr>
          <w:p w14:paraId="16985779" w14:textId="77777777" w:rsidR="006D430A" w:rsidRDefault="009E794D">
            <w:pPr>
              <w:keepNext/>
              <w:spacing w:after="60" w:line="240" w:lineRule="auto"/>
              <w:jc w:val="both"/>
              <w:rPr>
                <w:rFonts w:eastAsia="Times New Roman"/>
              </w:rPr>
            </w:pPr>
            <w:r>
              <w:t xml:space="preserve">Delivery of </w:t>
            </w:r>
            <w:proofErr w:type="spellStart"/>
            <w:r>
              <w:t>HRSGs</w:t>
            </w:r>
            <w:proofErr w:type="spellEnd"/>
            <w:r>
              <w:t xml:space="preserve"> </w:t>
            </w:r>
          </w:p>
        </w:tc>
        <w:tc>
          <w:tcPr>
            <w:tcW w:w="2514" w:type="dxa"/>
            <w:tcBorders>
              <w:top w:val="nil"/>
              <w:left w:val="nil"/>
              <w:bottom w:val="single" w:sz="8" w:space="0" w:color="auto"/>
              <w:right w:val="single" w:sz="8" w:space="0" w:color="auto"/>
            </w:tcBorders>
          </w:tcPr>
          <w:p w14:paraId="1698577A" w14:textId="77777777" w:rsidR="006D430A" w:rsidRDefault="009E794D">
            <w:pPr>
              <w:keepNext/>
              <w:spacing w:after="60" w:line="240" w:lineRule="auto"/>
              <w:jc w:val="center"/>
              <w:rPr>
                <w:rFonts w:eastAsia="Times New Roman"/>
              </w:rPr>
            </w:pPr>
            <w:r>
              <w:t>February 2024</w:t>
            </w:r>
          </w:p>
        </w:tc>
      </w:tr>
      <w:tr w:rsidR="006D430A" w14:paraId="1698577E" w14:textId="501F36F5">
        <w:trPr>
          <w:cantSplit/>
          <w:jc w:val="center"/>
        </w:trPr>
        <w:tc>
          <w:tcPr>
            <w:tcW w:w="4188" w:type="dxa"/>
            <w:tcBorders>
              <w:top w:val="nil"/>
              <w:left w:val="single" w:sz="8" w:space="0" w:color="auto"/>
              <w:bottom w:val="single" w:sz="8" w:space="0" w:color="auto"/>
              <w:right w:val="single" w:sz="8" w:space="0" w:color="auto"/>
            </w:tcBorders>
          </w:tcPr>
          <w:p w14:paraId="1698577C" w14:textId="77777777" w:rsidR="006D430A" w:rsidRDefault="009E794D">
            <w:pPr>
              <w:keepNext/>
              <w:spacing w:after="60" w:line="240" w:lineRule="auto"/>
              <w:jc w:val="both"/>
              <w:rPr>
                <w:rFonts w:eastAsia="Times New Roman"/>
              </w:rPr>
            </w:pPr>
            <w:r>
              <w:t>Delivery of Combustion Turbines</w:t>
            </w:r>
          </w:p>
        </w:tc>
        <w:tc>
          <w:tcPr>
            <w:tcW w:w="2514" w:type="dxa"/>
            <w:tcBorders>
              <w:top w:val="nil"/>
              <w:left w:val="nil"/>
              <w:bottom w:val="single" w:sz="8" w:space="0" w:color="auto"/>
              <w:right w:val="single" w:sz="8" w:space="0" w:color="auto"/>
            </w:tcBorders>
          </w:tcPr>
          <w:p w14:paraId="1698577D" w14:textId="77777777" w:rsidR="006D430A" w:rsidRDefault="009E794D">
            <w:pPr>
              <w:keepNext/>
              <w:spacing w:after="60" w:line="240" w:lineRule="auto"/>
              <w:jc w:val="center"/>
              <w:rPr>
                <w:rFonts w:eastAsia="Times New Roman"/>
              </w:rPr>
            </w:pPr>
            <w:r>
              <w:t>April 2024</w:t>
            </w:r>
          </w:p>
        </w:tc>
      </w:tr>
      <w:tr w:rsidR="006D430A" w14:paraId="16985781" w14:textId="69AC1365">
        <w:trPr>
          <w:cantSplit/>
          <w:jc w:val="center"/>
        </w:trPr>
        <w:tc>
          <w:tcPr>
            <w:tcW w:w="4188" w:type="dxa"/>
            <w:tcBorders>
              <w:top w:val="nil"/>
              <w:left w:val="single" w:sz="8" w:space="0" w:color="auto"/>
              <w:bottom w:val="single" w:sz="8" w:space="0" w:color="auto"/>
              <w:right w:val="single" w:sz="8" w:space="0" w:color="auto"/>
            </w:tcBorders>
          </w:tcPr>
          <w:p w14:paraId="1698577F" w14:textId="77777777" w:rsidR="006D430A" w:rsidRDefault="009E794D">
            <w:pPr>
              <w:keepNext/>
              <w:spacing w:after="60" w:line="240" w:lineRule="auto"/>
              <w:jc w:val="both"/>
              <w:rPr>
                <w:rFonts w:eastAsia="Times New Roman"/>
              </w:rPr>
            </w:pPr>
            <w:r>
              <w:t>Delivery of Steam Turbine</w:t>
            </w:r>
          </w:p>
        </w:tc>
        <w:tc>
          <w:tcPr>
            <w:tcW w:w="2514" w:type="dxa"/>
            <w:tcBorders>
              <w:top w:val="nil"/>
              <w:left w:val="nil"/>
              <w:bottom w:val="single" w:sz="8" w:space="0" w:color="auto"/>
              <w:right w:val="single" w:sz="8" w:space="0" w:color="auto"/>
            </w:tcBorders>
          </w:tcPr>
          <w:p w14:paraId="16985780" w14:textId="77777777" w:rsidR="006D430A" w:rsidRDefault="009E794D">
            <w:pPr>
              <w:keepNext/>
              <w:spacing w:after="60" w:line="240" w:lineRule="auto"/>
              <w:jc w:val="center"/>
              <w:rPr>
                <w:rFonts w:eastAsia="Times New Roman"/>
              </w:rPr>
            </w:pPr>
            <w:r>
              <w:t>June 2024</w:t>
            </w:r>
          </w:p>
        </w:tc>
      </w:tr>
      <w:tr w:rsidR="00572584" w14:paraId="16985784" w14:textId="77777777">
        <w:trPr>
          <w:cantSplit/>
          <w:jc w:val="center"/>
        </w:trPr>
        <w:tc>
          <w:tcPr>
            <w:tcW w:w="4188" w:type="dxa"/>
            <w:tcBorders>
              <w:top w:val="nil"/>
              <w:left w:val="single" w:sz="8" w:space="0" w:color="auto"/>
              <w:bottom w:val="single" w:sz="8" w:space="0" w:color="auto"/>
              <w:right w:val="single" w:sz="8" w:space="0" w:color="auto"/>
            </w:tcBorders>
          </w:tcPr>
          <w:p w14:paraId="16985782" w14:textId="77777777" w:rsidR="00572584" w:rsidRDefault="00BF78DC">
            <w:pPr>
              <w:keepNext/>
              <w:spacing w:after="60" w:line="240" w:lineRule="auto"/>
              <w:jc w:val="both"/>
            </w:pPr>
            <w:r>
              <w:t xml:space="preserve">Substantial Completion </w:t>
            </w:r>
          </w:p>
        </w:tc>
        <w:tc>
          <w:tcPr>
            <w:tcW w:w="2514" w:type="dxa"/>
            <w:tcBorders>
              <w:top w:val="nil"/>
              <w:left w:val="nil"/>
              <w:bottom w:val="single" w:sz="8" w:space="0" w:color="auto"/>
              <w:right w:val="single" w:sz="8" w:space="0" w:color="auto"/>
            </w:tcBorders>
          </w:tcPr>
          <w:p w14:paraId="16985783" w14:textId="77777777" w:rsidR="00572584" w:rsidRDefault="00BF78DC">
            <w:pPr>
              <w:keepNext/>
              <w:spacing w:after="60" w:line="240" w:lineRule="auto"/>
              <w:jc w:val="center"/>
            </w:pPr>
            <w:r>
              <w:t>March 2026</w:t>
            </w:r>
          </w:p>
        </w:tc>
      </w:tr>
      <w:tr w:rsidR="006D430A" w14:paraId="16985787" w14:textId="24A3183C">
        <w:trPr>
          <w:cantSplit/>
          <w:jc w:val="center"/>
        </w:trPr>
        <w:tc>
          <w:tcPr>
            <w:tcW w:w="4188" w:type="dxa"/>
            <w:tcBorders>
              <w:top w:val="nil"/>
              <w:left w:val="single" w:sz="8" w:space="0" w:color="auto"/>
              <w:bottom w:val="single" w:sz="8" w:space="0" w:color="auto"/>
              <w:right w:val="single" w:sz="8" w:space="0" w:color="auto"/>
            </w:tcBorders>
          </w:tcPr>
          <w:p w14:paraId="16985785" w14:textId="7E9BA14C" w:rsidR="006D430A" w:rsidRDefault="00BF78DC" w:rsidP="007B59AF">
            <w:pPr>
              <w:spacing w:after="60" w:line="240" w:lineRule="auto"/>
              <w:rPr>
                <w:rFonts w:eastAsia="Times New Roman"/>
              </w:rPr>
            </w:pPr>
            <w:r>
              <w:t>Commercial Operation</w:t>
            </w:r>
            <w:r w:rsidR="009E794D">
              <w:t xml:space="preserve"> </w:t>
            </w:r>
          </w:p>
        </w:tc>
        <w:tc>
          <w:tcPr>
            <w:tcW w:w="2514" w:type="dxa"/>
            <w:tcBorders>
              <w:top w:val="nil"/>
              <w:left w:val="nil"/>
              <w:bottom w:val="single" w:sz="8" w:space="0" w:color="auto"/>
              <w:right w:val="single" w:sz="8" w:space="0" w:color="auto"/>
            </w:tcBorders>
          </w:tcPr>
          <w:p w14:paraId="16985786" w14:textId="77777777" w:rsidR="006D430A" w:rsidRDefault="009E794D">
            <w:pPr>
              <w:spacing w:after="60" w:line="240" w:lineRule="auto"/>
              <w:jc w:val="center"/>
              <w:rPr>
                <w:rFonts w:eastAsia="Times New Roman"/>
              </w:rPr>
            </w:pPr>
            <w:r>
              <w:t>May 2026</w:t>
            </w:r>
          </w:p>
        </w:tc>
      </w:tr>
      <w:bookmarkEnd w:id="38"/>
    </w:tbl>
    <w:p w14:paraId="16985788" w14:textId="77777777" w:rsidR="006D430A" w:rsidRDefault="006D430A">
      <w:pPr>
        <w:pStyle w:val="Answer"/>
        <w:suppressLineNumbers/>
      </w:pPr>
    </w:p>
    <w:p w14:paraId="16985789" w14:textId="77777777" w:rsidR="006D430A" w:rsidRDefault="009E794D">
      <w:pPr>
        <w:pStyle w:val="Question"/>
      </w:pPr>
      <w:r>
        <w:t>WHAT IS THE EXPECTED TIMING OF THE SPENDING AND FINANCIAL COMMITMENTS ASSOCIATED WITH OCAPS?</w:t>
      </w:r>
    </w:p>
    <w:p w14:paraId="1698578A" w14:textId="77777777" w:rsidR="006D430A" w:rsidRDefault="009E794D">
      <w:pPr>
        <w:pStyle w:val="Answer"/>
      </w:pPr>
      <w:r>
        <w:t>A.</w:t>
      </w:r>
      <w:r>
        <w:tab/>
        <w:t xml:space="preserve">The following </w:t>
      </w:r>
      <w:proofErr w:type="spellStart"/>
      <w:r>
        <w:t>HSPM</w:t>
      </w:r>
      <w:proofErr w:type="spellEnd"/>
      <w:r>
        <w:t xml:space="preserve"> table depicts the Project’s projected cash flow and </w:t>
      </w:r>
      <w:proofErr w:type="gramStart"/>
      <w:r>
        <w:t>spend</w:t>
      </w:r>
      <w:proofErr w:type="gramEnd"/>
      <w:r>
        <w:t xml:space="preserve"> commitments: </w:t>
      </w:r>
      <w:r>
        <w:tab/>
      </w:r>
    </w:p>
    <w:p w14:paraId="1698578B" w14:textId="77777777" w:rsidR="006D430A" w:rsidRDefault="009E794D">
      <w:pPr>
        <w:pStyle w:val="TableHeading"/>
      </w:pPr>
      <w:proofErr w:type="spellStart"/>
      <w:r w:rsidRPr="008E1EBE">
        <w:t>HSPM</w:t>
      </w:r>
      <w:proofErr w:type="spellEnd"/>
      <w:r w:rsidRPr="00113217">
        <w:t xml:space="preserve"> </w:t>
      </w:r>
      <w:r>
        <w:t>Table 4: Estimated Project Cumulative Spend to Milestone (millions)</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864"/>
        <w:gridCol w:w="1796"/>
        <w:gridCol w:w="1534"/>
      </w:tblGrid>
      <w:tr w:rsidR="00274AE7" w14:paraId="1D201ECE" w14:textId="77777777" w:rsidTr="00721E9D">
        <w:trPr>
          <w:trHeight w:val="144"/>
          <w:jc w:val="center"/>
        </w:trPr>
        <w:tc>
          <w:tcPr>
            <w:tcW w:w="2686" w:type="pct"/>
            <w:tcBorders>
              <w:bottom w:val="single" w:sz="4" w:space="0" w:color="auto"/>
            </w:tcBorders>
            <w:shd w:val="clear" w:color="auto" w:fill="BFBFBF" w:themeFill="background1" w:themeFillShade="BF"/>
            <w:tcMar>
              <w:top w:w="15" w:type="dxa"/>
              <w:left w:w="108" w:type="dxa"/>
              <w:bottom w:w="0" w:type="dxa"/>
              <w:right w:w="108" w:type="dxa"/>
            </w:tcMar>
            <w:vAlign w:val="center"/>
            <w:hideMark/>
          </w:tcPr>
          <w:p w14:paraId="368EA73A" w14:textId="77777777" w:rsidR="00274AE7" w:rsidRDefault="00274AE7" w:rsidP="00721E9D">
            <w:pPr>
              <w:keepNext/>
              <w:spacing w:line="240" w:lineRule="auto"/>
              <w:jc w:val="center"/>
              <w:rPr>
                <w:rFonts w:eastAsia="Times New Roman"/>
                <w:szCs w:val="24"/>
              </w:rPr>
            </w:pPr>
            <w:bookmarkStart w:id="39" w:name="_Hlk75962811"/>
            <w:r>
              <w:rPr>
                <w:rFonts w:eastAsia="Times New Roman"/>
                <w:b/>
                <w:bCs/>
                <w:szCs w:val="24"/>
              </w:rPr>
              <w:t>Event</w:t>
            </w:r>
          </w:p>
        </w:tc>
        <w:tc>
          <w:tcPr>
            <w:tcW w:w="1248" w:type="pct"/>
            <w:shd w:val="clear" w:color="auto" w:fill="BFBFBF" w:themeFill="background1" w:themeFillShade="BF"/>
            <w:tcMar>
              <w:top w:w="15" w:type="dxa"/>
              <w:left w:w="108" w:type="dxa"/>
              <w:bottom w:w="0" w:type="dxa"/>
              <w:right w:w="108" w:type="dxa"/>
            </w:tcMar>
            <w:vAlign w:val="center"/>
            <w:hideMark/>
          </w:tcPr>
          <w:p w14:paraId="19B23ED4" w14:textId="77777777" w:rsidR="00274AE7" w:rsidRDefault="00274AE7" w:rsidP="00721E9D">
            <w:pPr>
              <w:keepNext/>
              <w:spacing w:line="240" w:lineRule="auto"/>
              <w:jc w:val="center"/>
              <w:rPr>
                <w:rFonts w:eastAsia="Times New Roman"/>
                <w:szCs w:val="24"/>
              </w:rPr>
            </w:pPr>
            <w:r>
              <w:rPr>
                <w:rFonts w:eastAsia="Times New Roman"/>
                <w:b/>
                <w:bCs/>
                <w:szCs w:val="24"/>
              </w:rPr>
              <w:t>Complete</w:t>
            </w:r>
          </w:p>
        </w:tc>
        <w:tc>
          <w:tcPr>
            <w:tcW w:w="1066" w:type="pct"/>
            <w:shd w:val="clear" w:color="auto" w:fill="BFBFBF" w:themeFill="background1" w:themeFillShade="BF"/>
            <w:tcMar>
              <w:top w:w="15" w:type="dxa"/>
              <w:left w:w="108" w:type="dxa"/>
              <w:bottom w:w="0" w:type="dxa"/>
              <w:right w:w="108" w:type="dxa"/>
            </w:tcMar>
            <w:vAlign w:val="center"/>
            <w:hideMark/>
          </w:tcPr>
          <w:p w14:paraId="66210DED" w14:textId="77777777" w:rsidR="00274AE7" w:rsidRDefault="00274AE7" w:rsidP="00721E9D">
            <w:pPr>
              <w:keepNext/>
              <w:tabs>
                <w:tab w:val="right" w:pos="1048"/>
              </w:tabs>
              <w:spacing w:line="240" w:lineRule="auto"/>
              <w:jc w:val="center"/>
              <w:rPr>
                <w:rFonts w:eastAsia="Times New Roman"/>
                <w:szCs w:val="24"/>
              </w:rPr>
            </w:pPr>
            <w:r>
              <w:rPr>
                <w:rFonts w:eastAsia="Times New Roman"/>
                <w:b/>
                <w:bCs/>
                <w:szCs w:val="24"/>
              </w:rPr>
              <w:t>Spend to Milestone</w:t>
            </w:r>
            <w:r>
              <w:rPr>
                <w:rFonts w:eastAsia="Times New Roman"/>
                <w:b/>
                <w:bCs/>
                <w:szCs w:val="24"/>
                <w:vertAlign w:val="superscript"/>
              </w:rPr>
              <w:footnoteReference w:id="7"/>
            </w:r>
          </w:p>
        </w:tc>
      </w:tr>
      <w:tr w:rsidR="00274AE7" w14:paraId="5EBFAE32" w14:textId="77777777" w:rsidTr="00721E9D">
        <w:trPr>
          <w:trHeight w:val="144"/>
          <w:jc w:val="center"/>
        </w:trPr>
        <w:tc>
          <w:tcPr>
            <w:tcW w:w="2686" w:type="pct"/>
            <w:shd w:val="clear" w:color="auto" w:fill="D9D9D9" w:themeFill="background1" w:themeFillShade="D9"/>
            <w:tcMar>
              <w:top w:w="15" w:type="dxa"/>
              <w:left w:w="108" w:type="dxa"/>
              <w:bottom w:w="0" w:type="dxa"/>
              <w:right w:w="108" w:type="dxa"/>
            </w:tcMar>
            <w:vAlign w:val="center"/>
            <w:hideMark/>
          </w:tcPr>
          <w:p w14:paraId="744A9947" w14:textId="77777777" w:rsidR="00274AE7" w:rsidRDefault="00274AE7" w:rsidP="00721E9D">
            <w:pPr>
              <w:keepNext/>
              <w:spacing w:after="60" w:line="240" w:lineRule="auto"/>
              <w:jc w:val="both"/>
              <w:rPr>
                <w:rFonts w:eastAsia="Times New Roman"/>
                <w:szCs w:val="24"/>
              </w:rPr>
            </w:pPr>
            <w:r>
              <w:rPr>
                <w:rFonts w:eastAsia="Times New Roman"/>
                <w:szCs w:val="24"/>
              </w:rPr>
              <w:t>Receipt of Transmission Estimate</w:t>
            </w:r>
          </w:p>
        </w:tc>
        <w:tc>
          <w:tcPr>
            <w:tcW w:w="1248" w:type="pct"/>
            <w:shd w:val="clear" w:color="auto" w:fill="auto"/>
            <w:tcMar>
              <w:top w:w="15" w:type="dxa"/>
              <w:left w:w="108" w:type="dxa"/>
              <w:bottom w:w="0" w:type="dxa"/>
              <w:right w:w="108" w:type="dxa"/>
            </w:tcMar>
            <w:vAlign w:val="center"/>
            <w:hideMark/>
          </w:tcPr>
          <w:p w14:paraId="6CE72DD4" w14:textId="77777777" w:rsidR="00274AE7" w:rsidRDefault="00274AE7" w:rsidP="00721E9D">
            <w:pPr>
              <w:keepNext/>
              <w:spacing w:line="240" w:lineRule="auto"/>
              <w:jc w:val="center"/>
              <w:rPr>
                <w:rFonts w:eastAsia="Times New Roman"/>
                <w:szCs w:val="24"/>
              </w:rPr>
            </w:pPr>
            <w:r>
              <w:t>May 2022</w:t>
            </w:r>
          </w:p>
        </w:tc>
        <w:tc>
          <w:tcPr>
            <w:tcW w:w="1066" w:type="pct"/>
            <w:shd w:val="clear" w:color="auto" w:fill="auto"/>
            <w:tcMar>
              <w:top w:w="15" w:type="dxa"/>
              <w:left w:w="108" w:type="dxa"/>
              <w:bottom w:w="0" w:type="dxa"/>
              <w:right w:w="108" w:type="dxa"/>
            </w:tcMar>
            <w:vAlign w:val="center"/>
            <w:hideMark/>
          </w:tcPr>
          <w:p w14:paraId="7BD613BA" w14:textId="6D588172" w:rsidR="00274AE7" w:rsidRPr="00A144FE" w:rsidRDefault="00A144FE" w:rsidP="00A144FE">
            <w:pPr>
              <w:keepNext/>
              <w:tabs>
                <w:tab w:val="right" w:pos="965"/>
                <w:tab w:val="right" w:pos="1048"/>
              </w:tabs>
              <w:spacing w:line="240" w:lineRule="auto"/>
              <w:jc w:val="center"/>
              <w:rPr>
                <w:rFonts w:eastAsia="Times New Roman"/>
                <w:szCs w:val="24"/>
                <w:highlight w:val="black"/>
              </w:rPr>
            </w:pPr>
            <w:proofErr w:type="spellStart"/>
            <w:r w:rsidRPr="00A144FE">
              <w:rPr>
                <w:rFonts w:eastAsia="Times New Roman"/>
                <w:szCs w:val="24"/>
                <w:highlight w:val="black"/>
              </w:rPr>
              <w:t>xxxxxxx</w:t>
            </w:r>
            <w:proofErr w:type="spellEnd"/>
          </w:p>
        </w:tc>
      </w:tr>
      <w:tr w:rsidR="00A144FE" w14:paraId="74DD5F42" w14:textId="77777777" w:rsidTr="00D70B4D">
        <w:trPr>
          <w:trHeight w:val="144"/>
          <w:jc w:val="center"/>
        </w:trPr>
        <w:tc>
          <w:tcPr>
            <w:tcW w:w="2686" w:type="pct"/>
            <w:shd w:val="clear" w:color="auto" w:fill="D9D9D9" w:themeFill="background1" w:themeFillShade="D9"/>
            <w:tcMar>
              <w:top w:w="15" w:type="dxa"/>
              <w:left w:w="108" w:type="dxa"/>
              <w:bottom w:w="0" w:type="dxa"/>
              <w:right w:w="108" w:type="dxa"/>
            </w:tcMar>
            <w:vAlign w:val="center"/>
            <w:hideMark/>
          </w:tcPr>
          <w:p w14:paraId="7A8A9618" w14:textId="77777777" w:rsidR="00A144FE" w:rsidRDefault="00A144FE" w:rsidP="00A144FE">
            <w:pPr>
              <w:keepNext/>
              <w:spacing w:after="60" w:line="240" w:lineRule="auto"/>
              <w:jc w:val="both"/>
              <w:rPr>
                <w:rFonts w:eastAsia="Times New Roman"/>
                <w:szCs w:val="24"/>
              </w:rPr>
            </w:pPr>
            <w:r>
              <w:rPr>
                <w:rFonts w:eastAsia="Times New Roman"/>
                <w:szCs w:val="24"/>
              </w:rPr>
              <w:t xml:space="preserve">Final Determination from </w:t>
            </w:r>
            <w:proofErr w:type="spellStart"/>
            <w:r>
              <w:rPr>
                <w:rFonts w:eastAsia="Times New Roman"/>
                <w:szCs w:val="24"/>
              </w:rPr>
              <w:t>PUCT</w:t>
            </w:r>
            <w:proofErr w:type="spellEnd"/>
          </w:p>
        </w:tc>
        <w:tc>
          <w:tcPr>
            <w:tcW w:w="1248" w:type="pct"/>
            <w:shd w:val="clear" w:color="auto" w:fill="auto"/>
            <w:tcMar>
              <w:top w:w="15" w:type="dxa"/>
              <w:left w:w="108" w:type="dxa"/>
              <w:bottom w:w="0" w:type="dxa"/>
              <w:right w:w="108" w:type="dxa"/>
            </w:tcMar>
            <w:vAlign w:val="center"/>
            <w:hideMark/>
          </w:tcPr>
          <w:p w14:paraId="31AD0012" w14:textId="77777777" w:rsidR="00A144FE" w:rsidRDefault="00A144FE" w:rsidP="00A144FE">
            <w:pPr>
              <w:keepNext/>
              <w:spacing w:line="240" w:lineRule="auto"/>
              <w:jc w:val="center"/>
              <w:rPr>
                <w:rFonts w:eastAsia="Times New Roman"/>
                <w:szCs w:val="24"/>
              </w:rPr>
            </w:pPr>
            <w:r>
              <w:t>September 2022</w:t>
            </w:r>
          </w:p>
        </w:tc>
        <w:tc>
          <w:tcPr>
            <w:tcW w:w="1066" w:type="pct"/>
            <w:shd w:val="clear" w:color="auto" w:fill="auto"/>
            <w:tcMar>
              <w:top w:w="15" w:type="dxa"/>
              <w:left w:w="108" w:type="dxa"/>
              <w:bottom w:w="0" w:type="dxa"/>
              <w:right w:w="108" w:type="dxa"/>
            </w:tcMar>
            <w:hideMark/>
          </w:tcPr>
          <w:p w14:paraId="54E87500" w14:textId="3EF3290B" w:rsidR="00A144FE" w:rsidRPr="00A144FE" w:rsidRDefault="00A144FE" w:rsidP="00A144FE">
            <w:pPr>
              <w:keepNext/>
              <w:tabs>
                <w:tab w:val="right" w:pos="965"/>
                <w:tab w:val="right" w:pos="1048"/>
              </w:tabs>
              <w:spacing w:line="240" w:lineRule="auto"/>
              <w:jc w:val="center"/>
              <w:rPr>
                <w:rFonts w:eastAsia="Times New Roman"/>
                <w:szCs w:val="24"/>
                <w:highlight w:val="black"/>
              </w:rPr>
            </w:pPr>
            <w:proofErr w:type="spellStart"/>
            <w:r w:rsidRPr="00A144FE">
              <w:rPr>
                <w:rFonts w:eastAsia="Times New Roman"/>
                <w:szCs w:val="24"/>
                <w:highlight w:val="black"/>
              </w:rPr>
              <w:t>xxxxxxx</w:t>
            </w:r>
            <w:proofErr w:type="spellEnd"/>
          </w:p>
        </w:tc>
      </w:tr>
      <w:tr w:rsidR="00A144FE" w14:paraId="7C52E5C1" w14:textId="77777777" w:rsidTr="00D70B4D">
        <w:trPr>
          <w:trHeight w:val="144"/>
          <w:jc w:val="center"/>
        </w:trPr>
        <w:tc>
          <w:tcPr>
            <w:tcW w:w="2686" w:type="pct"/>
            <w:shd w:val="clear" w:color="auto" w:fill="D9D9D9" w:themeFill="background1" w:themeFillShade="D9"/>
            <w:tcMar>
              <w:top w:w="15" w:type="dxa"/>
              <w:left w:w="108" w:type="dxa"/>
              <w:bottom w:w="0" w:type="dxa"/>
              <w:right w:w="108" w:type="dxa"/>
            </w:tcMar>
            <w:vAlign w:val="center"/>
            <w:hideMark/>
          </w:tcPr>
          <w:p w14:paraId="6B9C5425" w14:textId="77777777" w:rsidR="00A144FE" w:rsidRDefault="00A144FE" w:rsidP="00A144FE">
            <w:pPr>
              <w:keepNext/>
              <w:spacing w:after="60" w:line="240" w:lineRule="auto"/>
              <w:jc w:val="both"/>
              <w:rPr>
                <w:rFonts w:eastAsia="Times New Roman"/>
                <w:szCs w:val="24"/>
              </w:rPr>
            </w:pPr>
            <w:proofErr w:type="spellStart"/>
            <w:r>
              <w:rPr>
                <w:rFonts w:eastAsia="Times New Roman"/>
                <w:szCs w:val="24"/>
              </w:rPr>
              <w:t>EPC</w:t>
            </w:r>
            <w:proofErr w:type="spellEnd"/>
            <w:r>
              <w:rPr>
                <w:rFonts w:eastAsia="Times New Roman"/>
                <w:szCs w:val="24"/>
              </w:rPr>
              <w:t xml:space="preserve"> Limited Notice to Proceed</w:t>
            </w:r>
          </w:p>
        </w:tc>
        <w:tc>
          <w:tcPr>
            <w:tcW w:w="1248" w:type="pct"/>
            <w:shd w:val="clear" w:color="auto" w:fill="auto"/>
            <w:tcMar>
              <w:top w:w="15" w:type="dxa"/>
              <w:left w:w="108" w:type="dxa"/>
              <w:bottom w:w="0" w:type="dxa"/>
              <w:right w:w="108" w:type="dxa"/>
            </w:tcMar>
            <w:vAlign w:val="center"/>
            <w:hideMark/>
          </w:tcPr>
          <w:p w14:paraId="6755024E" w14:textId="77777777" w:rsidR="00A144FE" w:rsidRDefault="00A144FE" w:rsidP="00A144FE">
            <w:pPr>
              <w:keepNext/>
              <w:spacing w:line="240" w:lineRule="auto"/>
              <w:jc w:val="center"/>
              <w:rPr>
                <w:rFonts w:eastAsia="Times New Roman"/>
                <w:szCs w:val="24"/>
              </w:rPr>
            </w:pPr>
            <w:r>
              <w:t>October 2022</w:t>
            </w:r>
          </w:p>
        </w:tc>
        <w:tc>
          <w:tcPr>
            <w:tcW w:w="1066" w:type="pct"/>
            <w:shd w:val="clear" w:color="auto" w:fill="auto"/>
            <w:tcMar>
              <w:top w:w="15" w:type="dxa"/>
              <w:left w:w="108" w:type="dxa"/>
              <w:bottom w:w="0" w:type="dxa"/>
              <w:right w:w="108" w:type="dxa"/>
            </w:tcMar>
            <w:hideMark/>
          </w:tcPr>
          <w:p w14:paraId="434655B5" w14:textId="1C6D5A98" w:rsidR="00A144FE" w:rsidRPr="00A144FE" w:rsidRDefault="00A144FE" w:rsidP="00A144FE">
            <w:pPr>
              <w:keepNext/>
              <w:tabs>
                <w:tab w:val="right" w:pos="965"/>
                <w:tab w:val="right" w:pos="1048"/>
              </w:tabs>
              <w:spacing w:line="240" w:lineRule="auto"/>
              <w:jc w:val="center"/>
              <w:rPr>
                <w:rFonts w:eastAsia="Times New Roman"/>
                <w:szCs w:val="24"/>
                <w:highlight w:val="black"/>
              </w:rPr>
            </w:pPr>
            <w:proofErr w:type="spellStart"/>
            <w:r w:rsidRPr="00A144FE">
              <w:rPr>
                <w:rFonts w:eastAsia="Times New Roman"/>
                <w:szCs w:val="24"/>
                <w:highlight w:val="black"/>
              </w:rPr>
              <w:t>xxxxxxx</w:t>
            </w:r>
            <w:proofErr w:type="spellEnd"/>
          </w:p>
        </w:tc>
      </w:tr>
      <w:tr w:rsidR="00A144FE" w14:paraId="1ECFB0AA" w14:textId="77777777" w:rsidTr="00D70B4D">
        <w:trPr>
          <w:trHeight w:val="144"/>
          <w:jc w:val="center"/>
        </w:trPr>
        <w:tc>
          <w:tcPr>
            <w:tcW w:w="2686" w:type="pct"/>
            <w:shd w:val="clear" w:color="auto" w:fill="D9D9D9" w:themeFill="background1" w:themeFillShade="D9"/>
            <w:tcMar>
              <w:top w:w="15" w:type="dxa"/>
              <w:left w:w="108" w:type="dxa"/>
              <w:bottom w:w="0" w:type="dxa"/>
              <w:right w:w="108" w:type="dxa"/>
            </w:tcMar>
            <w:vAlign w:val="center"/>
            <w:hideMark/>
          </w:tcPr>
          <w:p w14:paraId="134517A0" w14:textId="77777777" w:rsidR="00A144FE" w:rsidRDefault="00A144FE" w:rsidP="00A144FE">
            <w:pPr>
              <w:keepNext/>
              <w:spacing w:after="60" w:line="240" w:lineRule="auto"/>
              <w:jc w:val="both"/>
              <w:rPr>
                <w:rFonts w:eastAsia="Times New Roman"/>
                <w:szCs w:val="24"/>
              </w:rPr>
            </w:pPr>
            <w:r>
              <w:rPr>
                <w:rFonts w:eastAsia="Times New Roman"/>
                <w:szCs w:val="24"/>
              </w:rPr>
              <w:t>OEM Material/Fabrication Releases</w:t>
            </w:r>
          </w:p>
        </w:tc>
        <w:tc>
          <w:tcPr>
            <w:tcW w:w="1248" w:type="pct"/>
            <w:shd w:val="clear" w:color="auto" w:fill="auto"/>
            <w:tcMar>
              <w:top w:w="15" w:type="dxa"/>
              <w:left w:w="108" w:type="dxa"/>
              <w:bottom w:w="0" w:type="dxa"/>
              <w:right w:w="108" w:type="dxa"/>
            </w:tcMar>
            <w:vAlign w:val="center"/>
            <w:hideMark/>
          </w:tcPr>
          <w:p w14:paraId="5CA80800" w14:textId="77777777" w:rsidR="00A144FE" w:rsidRDefault="00A144FE" w:rsidP="00A144FE">
            <w:pPr>
              <w:keepNext/>
              <w:spacing w:line="240" w:lineRule="auto"/>
              <w:jc w:val="center"/>
              <w:rPr>
                <w:rFonts w:eastAsia="Times New Roman"/>
                <w:szCs w:val="24"/>
              </w:rPr>
            </w:pPr>
            <w:r>
              <w:t>October 2022</w:t>
            </w:r>
          </w:p>
        </w:tc>
        <w:tc>
          <w:tcPr>
            <w:tcW w:w="1066" w:type="pct"/>
            <w:shd w:val="clear" w:color="auto" w:fill="auto"/>
            <w:tcMar>
              <w:top w:w="15" w:type="dxa"/>
              <w:left w:w="108" w:type="dxa"/>
              <w:bottom w:w="0" w:type="dxa"/>
              <w:right w:w="108" w:type="dxa"/>
            </w:tcMar>
            <w:hideMark/>
          </w:tcPr>
          <w:p w14:paraId="3547CEA7" w14:textId="6FA52CA0" w:rsidR="00A144FE" w:rsidRPr="00A144FE" w:rsidRDefault="00A144FE" w:rsidP="00A144FE">
            <w:pPr>
              <w:keepNext/>
              <w:tabs>
                <w:tab w:val="right" w:pos="965"/>
                <w:tab w:val="right" w:pos="1048"/>
              </w:tabs>
              <w:spacing w:line="240" w:lineRule="auto"/>
              <w:jc w:val="center"/>
              <w:rPr>
                <w:rFonts w:eastAsia="Times New Roman"/>
                <w:szCs w:val="24"/>
                <w:highlight w:val="black"/>
              </w:rPr>
            </w:pPr>
            <w:proofErr w:type="spellStart"/>
            <w:r w:rsidRPr="00A144FE">
              <w:rPr>
                <w:rFonts w:eastAsia="Times New Roman"/>
                <w:szCs w:val="24"/>
                <w:highlight w:val="black"/>
              </w:rPr>
              <w:t>xxxxxxx</w:t>
            </w:r>
            <w:proofErr w:type="spellEnd"/>
          </w:p>
        </w:tc>
      </w:tr>
      <w:tr w:rsidR="00A144FE" w14:paraId="1694FE34" w14:textId="77777777" w:rsidTr="00D70B4D">
        <w:trPr>
          <w:trHeight w:val="144"/>
          <w:jc w:val="center"/>
        </w:trPr>
        <w:tc>
          <w:tcPr>
            <w:tcW w:w="2686" w:type="pct"/>
            <w:shd w:val="clear" w:color="auto" w:fill="D9D9D9" w:themeFill="background1" w:themeFillShade="D9"/>
            <w:tcMar>
              <w:top w:w="15" w:type="dxa"/>
              <w:left w:w="108" w:type="dxa"/>
              <w:bottom w:w="0" w:type="dxa"/>
              <w:right w:w="108" w:type="dxa"/>
            </w:tcMar>
            <w:vAlign w:val="center"/>
            <w:hideMark/>
          </w:tcPr>
          <w:p w14:paraId="20B934FD" w14:textId="77777777" w:rsidR="00A144FE" w:rsidRDefault="00A144FE" w:rsidP="00A144FE">
            <w:pPr>
              <w:keepNext/>
              <w:spacing w:after="60" w:line="240" w:lineRule="auto"/>
              <w:jc w:val="both"/>
              <w:rPr>
                <w:rFonts w:eastAsia="Times New Roman"/>
                <w:szCs w:val="24"/>
              </w:rPr>
            </w:pPr>
            <w:r>
              <w:rPr>
                <w:rFonts w:eastAsia="Times New Roman"/>
                <w:szCs w:val="24"/>
              </w:rPr>
              <w:t>Air Permit Receipt</w:t>
            </w:r>
          </w:p>
        </w:tc>
        <w:tc>
          <w:tcPr>
            <w:tcW w:w="1248" w:type="pct"/>
            <w:tcMar>
              <w:top w:w="15" w:type="dxa"/>
              <w:left w:w="108" w:type="dxa"/>
              <w:bottom w:w="0" w:type="dxa"/>
              <w:right w:w="108" w:type="dxa"/>
            </w:tcMar>
            <w:vAlign w:val="center"/>
            <w:hideMark/>
          </w:tcPr>
          <w:p w14:paraId="7C328F78" w14:textId="77777777" w:rsidR="00A144FE" w:rsidRDefault="00A144FE" w:rsidP="00A144FE">
            <w:pPr>
              <w:keepNext/>
              <w:spacing w:line="240" w:lineRule="auto"/>
              <w:jc w:val="center"/>
              <w:rPr>
                <w:rFonts w:eastAsia="Times New Roman"/>
                <w:szCs w:val="24"/>
              </w:rPr>
            </w:pPr>
            <w:r>
              <w:t>January 2023</w:t>
            </w:r>
          </w:p>
        </w:tc>
        <w:tc>
          <w:tcPr>
            <w:tcW w:w="1066" w:type="pct"/>
            <w:shd w:val="clear" w:color="auto" w:fill="auto"/>
            <w:tcMar>
              <w:top w:w="15" w:type="dxa"/>
              <w:left w:w="108" w:type="dxa"/>
              <w:bottom w:w="0" w:type="dxa"/>
              <w:right w:w="108" w:type="dxa"/>
            </w:tcMar>
            <w:hideMark/>
          </w:tcPr>
          <w:p w14:paraId="3AB6EC53" w14:textId="608560A5" w:rsidR="00A144FE" w:rsidRPr="00A144FE" w:rsidRDefault="00A144FE" w:rsidP="00A144FE">
            <w:pPr>
              <w:keepNext/>
              <w:tabs>
                <w:tab w:val="right" w:pos="965"/>
                <w:tab w:val="right" w:pos="1048"/>
              </w:tabs>
              <w:spacing w:line="240" w:lineRule="auto"/>
              <w:jc w:val="center"/>
              <w:rPr>
                <w:rFonts w:eastAsia="Times New Roman"/>
                <w:szCs w:val="24"/>
                <w:highlight w:val="black"/>
              </w:rPr>
            </w:pPr>
            <w:proofErr w:type="spellStart"/>
            <w:r w:rsidRPr="00A144FE">
              <w:rPr>
                <w:rFonts w:eastAsia="Times New Roman"/>
                <w:szCs w:val="24"/>
                <w:highlight w:val="black"/>
              </w:rPr>
              <w:t>xxxxxxx</w:t>
            </w:r>
            <w:proofErr w:type="spellEnd"/>
          </w:p>
        </w:tc>
      </w:tr>
      <w:tr w:rsidR="00A144FE" w14:paraId="62D2C68F" w14:textId="77777777" w:rsidTr="00D70B4D">
        <w:trPr>
          <w:trHeight w:val="144"/>
          <w:jc w:val="center"/>
        </w:trPr>
        <w:tc>
          <w:tcPr>
            <w:tcW w:w="2686" w:type="pct"/>
            <w:shd w:val="clear" w:color="auto" w:fill="D9D9D9" w:themeFill="background1" w:themeFillShade="D9"/>
            <w:tcMar>
              <w:top w:w="15" w:type="dxa"/>
              <w:left w:w="108" w:type="dxa"/>
              <w:bottom w:w="0" w:type="dxa"/>
              <w:right w:w="108" w:type="dxa"/>
            </w:tcMar>
            <w:vAlign w:val="center"/>
            <w:hideMark/>
          </w:tcPr>
          <w:p w14:paraId="6CE8C065" w14:textId="77777777" w:rsidR="00A144FE" w:rsidRDefault="00A144FE" w:rsidP="00A144FE">
            <w:pPr>
              <w:spacing w:after="60" w:line="240" w:lineRule="auto"/>
              <w:jc w:val="both"/>
              <w:rPr>
                <w:rFonts w:eastAsia="Times New Roman"/>
                <w:szCs w:val="24"/>
              </w:rPr>
            </w:pPr>
            <w:proofErr w:type="spellStart"/>
            <w:r>
              <w:rPr>
                <w:rFonts w:eastAsia="Times New Roman"/>
                <w:szCs w:val="24"/>
              </w:rPr>
              <w:t>EPC</w:t>
            </w:r>
            <w:proofErr w:type="spellEnd"/>
            <w:r>
              <w:rPr>
                <w:rFonts w:eastAsia="Times New Roman"/>
                <w:szCs w:val="24"/>
              </w:rPr>
              <w:t xml:space="preserve"> Full Notice to Proceed</w:t>
            </w:r>
          </w:p>
        </w:tc>
        <w:tc>
          <w:tcPr>
            <w:tcW w:w="1248" w:type="pct"/>
            <w:shd w:val="clear" w:color="auto" w:fill="auto"/>
            <w:tcMar>
              <w:top w:w="15" w:type="dxa"/>
              <w:left w:w="108" w:type="dxa"/>
              <w:bottom w:w="0" w:type="dxa"/>
              <w:right w:w="108" w:type="dxa"/>
            </w:tcMar>
            <w:vAlign w:val="center"/>
            <w:hideMark/>
          </w:tcPr>
          <w:p w14:paraId="3829C2AD" w14:textId="77777777" w:rsidR="00A144FE" w:rsidRDefault="00A144FE" w:rsidP="00A144FE">
            <w:pPr>
              <w:spacing w:line="240" w:lineRule="auto"/>
              <w:jc w:val="center"/>
              <w:rPr>
                <w:rFonts w:eastAsia="Times New Roman"/>
                <w:szCs w:val="24"/>
              </w:rPr>
            </w:pPr>
            <w:r>
              <w:t>May 2023</w:t>
            </w:r>
          </w:p>
        </w:tc>
        <w:tc>
          <w:tcPr>
            <w:tcW w:w="1066" w:type="pct"/>
            <w:shd w:val="clear" w:color="auto" w:fill="auto"/>
            <w:tcMar>
              <w:top w:w="15" w:type="dxa"/>
              <w:left w:w="108" w:type="dxa"/>
              <w:bottom w:w="0" w:type="dxa"/>
              <w:right w:w="108" w:type="dxa"/>
            </w:tcMar>
            <w:hideMark/>
          </w:tcPr>
          <w:p w14:paraId="351E348D" w14:textId="6CB72BC4" w:rsidR="00A144FE" w:rsidRPr="00A144FE" w:rsidRDefault="00A144FE" w:rsidP="00A144FE">
            <w:pPr>
              <w:tabs>
                <w:tab w:val="right" w:pos="965"/>
                <w:tab w:val="right" w:pos="1048"/>
              </w:tabs>
              <w:spacing w:line="240" w:lineRule="auto"/>
              <w:jc w:val="center"/>
              <w:rPr>
                <w:rFonts w:eastAsia="Times New Roman"/>
                <w:szCs w:val="24"/>
                <w:highlight w:val="black"/>
              </w:rPr>
            </w:pPr>
            <w:proofErr w:type="spellStart"/>
            <w:r w:rsidRPr="00A144FE">
              <w:rPr>
                <w:rFonts w:eastAsia="Times New Roman"/>
                <w:szCs w:val="24"/>
                <w:highlight w:val="black"/>
              </w:rPr>
              <w:t>xxxxxxx</w:t>
            </w:r>
            <w:proofErr w:type="spellEnd"/>
          </w:p>
        </w:tc>
      </w:tr>
      <w:bookmarkEnd w:id="39"/>
    </w:tbl>
    <w:p w14:paraId="169857A8" w14:textId="77777777" w:rsidR="006D430A" w:rsidRDefault="006D430A">
      <w:pPr>
        <w:pStyle w:val="Answer"/>
        <w:suppressLineNumbers/>
      </w:pPr>
    </w:p>
    <w:p w14:paraId="169857A9" w14:textId="77777777" w:rsidR="006D430A" w:rsidRDefault="009E794D">
      <w:pPr>
        <w:pStyle w:val="Heading1"/>
      </w:pPr>
      <w:bookmarkStart w:id="40" w:name="_Toc428195304"/>
      <w:bookmarkStart w:id="41" w:name="_Toc463456497"/>
      <w:bookmarkStart w:id="42" w:name="_Toc65862122"/>
      <w:bookmarkStart w:id="43" w:name="_Toc82444604"/>
      <w:r>
        <w:lastRenderedPageBreak/>
        <w:t xml:space="preserve">Estimated Non-Fuel </w:t>
      </w:r>
      <w:proofErr w:type="spellStart"/>
      <w:r>
        <w:t>O&amp;M</w:t>
      </w:r>
      <w:proofErr w:type="spellEnd"/>
      <w:r>
        <w:t xml:space="preserve"> Costs</w:t>
      </w:r>
      <w:bookmarkEnd w:id="40"/>
      <w:bookmarkEnd w:id="41"/>
      <w:bookmarkEnd w:id="42"/>
      <w:bookmarkEnd w:id="43"/>
    </w:p>
    <w:p w14:paraId="169857AA" w14:textId="77777777" w:rsidR="006D430A" w:rsidRDefault="009E794D">
      <w:pPr>
        <w:pStyle w:val="Question"/>
      </w:pPr>
      <w:r>
        <w:t xml:space="preserve">HAS AN ESTIMATE BEEN PREPARED OF </w:t>
      </w:r>
      <w:proofErr w:type="spellStart"/>
      <w:r>
        <w:t>O&amp;M</w:t>
      </w:r>
      <w:proofErr w:type="spellEnd"/>
      <w:r>
        <w:t xml:space="preserve"> COSTS THAT WILL BE INCURRED IN OPERATING OCAPS?</w:t>
      </w:r>
    </w:p>
    <w:p w14:paraId="169857AB" w14:textId="77777777" w:rsidR="006D430A" w:rsidRDefault="009E794D">
      <w:pPr>
        <w:pStyle w:val="Answer"/>
      </w:pPr>
      <w:r>
        <w:t>A.</w:t>
      </w:r>
      <w:r>
        <w:tab/>
        <w:t>Yes.  The self-build commercial team has prepared an estimate, and has provided that estimate to Company witness Allison P. Lofton for use in estimating the first-year revenue requirement associated with OCAPS, based on the current best understanding of what equipment will be installed at the site and on a number of other assumptions related to operating systems and conditions at the unit beginning in 2026.</w:t>
      </w:r>
      <w:r>
        <w:rPr>
          <w:b/>
        </w:rPr>
        <w:t xml:space="preserve"> </w:t>
      </w:r>
      <w:r>
        <w:t xml:space="preserve"> The estimate also makes assumptions on a general inflation rate, a payroll escalation rate, and a materials and supplies escalation rate across the estimate timeframe for the purposes of presenting the estimate in 2026 dollars.  In estimating the </w:t>
      </w:r>
      <w:proofErr w:type="spellStart"/>
      <w:r>
        <w:t>O&amp;M</w:t>
      </w:r>
      <w:proofErr w:type="spellEnd"/>
      <w:r>
        <w:t xml:space="preserve"> expense, the average general inflation rate is assumed to be 3% per year, with payroll increasing by 2 to 3% per year.  All cost estimates are based on 2020 dollars, escalated to 2026 and each year thereafter by the appropriate escalation rate. </w:t>
      </w:r>
    </w:p>
    <w:p w14:paraId="169857AC" w14:textId="77777777" w:rsidR="006D430A" w:rsidRDefault="006D430A">
      <w:pPr>
        <w:pStyle w:val="Answer"/>
      </w:pPr>
    </w:p>
    <w:p w14:paraId="169857AD" w14:textId="77777777" w:rsidR="006D430A" w:rsidRDefault="009E794D">
      <w:pPr>
        <w:pStyle w:val="Question"/>
      </w:pPr>
      <w:r>
        <w:t>HOW WAS THE ESTIMATE DEVELOPED?</w:t>
      </w:r>
    </w:p>
    <w:p w14:paraId="169857AE" w14:textId="77777777" w:rsidR="006D430A" w:rsidRDefault="009E794D">
      <w:pPr>
        <w:pStyle w:val="Answer"/>
      </w:pPr>
      <w:r>
        <w:t>A.</w:t>
      </w:r>
      <w:r>
        <w:tab/>
        <w:t xml:space="preserve">The estimate was developed using a process that was created based on experience gained in the operation of other Company-operated combined-cycle facilities and information gleaned from general industry sources.  This estimation process compiles </w:t>
      </w:r>
      <w:proofErr w:type="spellStart"/>
      <w:r>
        <w:t>O&amp;M</w:t>
      </w:r>
      <w:proofErr w:type="spellEnd"/>
      <w:r>
        <w:t xml:space="preserve"> performance and cost into a spreadsheet model for the processes, systems, and components that will be employed within a plant, and uses that data to estimate routine annual and major periodic inspection </w:t>
      </w:r>
      <w:proofErr w:type="spellStart"/>
      <w:r>
        <w:t>O&amp;M</w:t>
      </w:r>
      <w:proofErr w:type="spellEnd"/>
      <w:r>
        <w:t xml:space="preserve"> expenses.  </w:t>
      </w:r>
    </w:p>
    <w:p w14:paraId="169857AF" w14:textId="77777777" w:rsidR="006D430A" w:rsidRDefault="006D430A" w:rsidP="00C36FD9">
      <w:pPr>
        <w:pStyle w:val="Answer"/>
        <w:suppressLineNumbers/>
      </w:pPr>
    </w:p>
    <w:p w14:paraId="169857B0" w14:textId="77777777" w:rsidR="006D430A" w:rsidRDefault="009E794D">
      <w:pPr>
        <w:pStyle w:val="Question"/>
      </w:pPr>
      <w:r>
        <w:lastRenderedPageBreak/>
        <w:t xml:space="preserve">WHAT IS THE CURRENT ESTIMATE OF </w:t>
      </w:r>
      <w:proofErr w:type="spellStart"/>
      <w:r>
        <w:t>O&amp;M</w:t>
      </w:r>
      <w:proofErr w:type="spellEnd"/>
      <w:r>
        <w:t xml:space="preserve"> EXPENSES?</w:t>
      </w:r>
    </w:p>
    <w:p w14:paraId="169857B1" w14:textId="77777777" w:rsidR="006D430A" w:rsidRDefault="009E794D">
      <w:pPr>
        <w:pStyle w:val="Answer"/>
      </w:pPr>
      <w:r>
        <w:t>A.</w:t>
      </w:r>
      <w:r>
        <w:tab/>
        <w:t xml:space="preserve">The estimated </w:t>
      </w:r>
      <w:proofErr w:type="spellStart"/>
      <w:r>
        <w:t>O&amp;M</w:t>
      </w:r>
      <w:proofErr w:type="spellEnd"/>
      <w:r>
        <w:t xml:space="preserve"> expenses for OCAPS in its first year of operation are summarized in Table 5.  The </w:t>
      </w:r>
      <w:proofErr w:type="spellStart"/>
      <w:r>
        <w:t>O&amp;M</w:t>
      </w:r>
      <w:proofErr w:type="spellEnd"/>
      <w:r>
        <w:t xml:space="preserve"> numbers in Table 5 are for the </w:t>
      </w:r>
      <w:proofErr w:type="spellStart"/>
      <w:r>
        <w:t>O&amp;M</w:t>
      </w:r>
      <w:proofErr w:type="spellEnd"/>
      <w:r>
        <w:t xml:space="preserve"> associated with OCAPS only, excluding any current </w:t>
      </w:r>
      <w:proofErr w:type="spellStart"/>
      <w:r>
        <w:t>O&amp;M</w:t>
      </w:r>
      <w:proofErr w:type="spellEnd"/>
      <w:r>
        <w:t xml:space="preserve"> costs that are otherwise reflected in the Company’s rates and major maintenance costs expected to be incurred under the long-term service agreement (“</w:t>
      </w:r>
      <w:proofErr w:type="spellStart"/>
      <w:r>
        <w:t>LTSA</w:t>
      </w:r>
      <w:proofErr w:type="spellEnd"/>
      <w:r>
        <w:t xml:space="preserve">”) that I discuss later in my testimony.  The </w:t>
      </w:r>
      <w:proofErr w:type="spellStart"/>
      <w:r>
        <w:t>O&amp;M</w:t>
      </w:r>
      <w:proofErr w:type="spellEnd"/>
      <w:r>
        <w:t xml:space="preserve"> estimate reflects costs in 2026 dollars and is supported by the </w:t>
      </w:r>
      <w:proofErr w:type="spellStart"/>
      <w:r>
        <w:t>workpaper</w:t>
      </w:r>
      <w:proofErr w:type="spellEnd"/>
      <w:r>
        <w:t xml:space="preserve"> attached as </w:t>
      </w:r>
      <w:proofErr w:type="spellStart"/>
      <w:r>
        <w:t>HSPM</w:t>
      </w:r>
      <w:proofErr w:type="spellEnd"/>
      <w:r>
        <w:t xml:space="preserve"> Exhibit CR</w:t>
      </w:r>
      <w:r>
        <w:noBreakHyphen/>
        <w:t>6.</w:t>
      </w:r>
    </w:p>
    <w:p w14:paraId="169857B2" w14:textId="77777777" w:rsidR="006D430A" w:rsidRPr="008E1EBE" w:rsidRDefault="009E794D">
      <w:pPr>
        <w:pStyle w:val="TableHeading"/>
      </w:pPr>
      <w:proofErr w:type="spellStart"/>
      <w:r w:rsidRPr="008E1EBE">
        <w:t>HSPM</w:t>
      </w:r>
      <w:proofErr w:type="spellEnd"/>
      <w:r w:rsidRPr="008E1EBE">
        <w:t xml:space="preserve"> Table 5: Estimated OCAPS First-Year </w:t>
      </w:r>
      <w:r w:rsidRPr="008E1EBE">
        <w:br/>
      </w:r>
      <w:proofErr w:type="spellStart"/>
      <w:r w:rsidRPr="008E1EBE">
        <w:t>O&amp;M</w:t>
      </w:r>
      <w:proofErr w:type="spellEnd"/>
      <w:r w:rsidRPr="008E1EBE">
        <w:t xml:space="preserve"> Expenses (thousands)</w:t>
      </w:r>
    </w:p>
    <w:tbl>
      <w:tblPr>
        <w:tblW w:w="7650" w:type="dxa"/>
        <w:tblInd w:w="738" w:type="dxa"/>
        <w:tblLook w:val="04A0" w:firstRow="1" w:lastRow="0" w:firstColumn="1" w:lastColumn="0" w:noHBand="0" w:noVBand="1"/>
      </w:tblPr>
      <w:tblGrid>
        <w:gridCol w:w="3420"/>
        <w:gridCol w:w="2340"/>
        <w:gridCol w:w="1890"/>
      </w:tblGrid>
      <w:tr w:rsidR="0022597E" w14:paraId="3BD2E3DE" w14:textId="77777777" w:rsidTr="00721E9D">
        <w:trPr>
          <w:cantSplit/>
          <w:trHeight w:val="315"/>
        </w:trPr>
        <w:tc>
          <w:tcPr>
            <w:tcW w:w="3420" w:type="dxa"/>
            <w:tcBorders>
              <w:top w:val="single" w:sz="4" w:space="0" w:color="auto"/>
              <w:left w:val="single" w:sz="4" w:space="0" w:color="auto"/>
              <w:bottom w:val="nil"/>
              <w:right w:val="nil"/>
            </w:tcBorders>
            <w:shd w:val="clear" w:color="auto" w:fill="auto"/>
            <w:noWrap/>
            <w:vAlign w:val="bottom"/>
            <w:hideMark/>
          </w:tcPr>
          <w:p w14:paraId="0C7D2A6E" w14:textId="77777777" w:rsidR="0022597E" w:rsidRPr="0022597E" w:rsidRDefault="0022597E" w:rsidP="00721E9D">
            <w:pPr>
              <w:keepNext/>
              <w:keepLines/>
              <w:spacing w:line="240" w:lineRule="auto"/>
              <w:rPr>
                <w:rFonts w:eastAsia="Times New Roman"/>
                <w:b/>
                <w:szCs w:val="24"/>
                <w:u w:val="single"/>
              </w:rPr>
            </w:pPr>
            <w:proofErr w:type="spellStart"/>
            <w:r w:rsidRPr="0022597E">
              <w:rPr>
                <w:rFonts w:eastAsia="Times New Roman"/>
                <w:b/>
                <w:szCs w:val="24"/>
                <w:u w:val="single"/>
              </w:rPr>
              <w:t>O&amp;M</w:t>
            </w:r>
            <w:proofErr w:type="spellEnd"/>
            <w:r w:rsidRPr="0022597E">
              <w:rPr>
                <w:rFonts w:eastAsia="Times New Roman"/>
                <w:b/>
                <w:szCs w:val="24"/>
                <w:u w:val="single"/>
              </w:rPr>
              <w:t xml:space="preserve"> Expenses</w:t>
            </w:r>
          </w:p>
        </w:tc>
        <w:tc>
          <w:tcPr>
            <w:tcW w:w="2340" w:type="dxa"/>
            <w:tcBorders>
              <w:top w:val="single" w:sz="4" w:space="0" w:color="auto"/>
              <w:left w:val="nil"/>
              <w:bottom w:val="nil"/>
              <w:right w:val="nil"/>
            </w:tcBorders>
            <w:shd w:val="clear" w:color="auto" w:fill="auto"/>
            <w:noWrap/>
            <w:vAlign w:val="bottom"/>
            <w:hideMark/>
          </w:tcPr>
          <w:p w14:paraId="38D181D9" w14:textId="77777777" w:rsidR="0022597E" w:rsidRPr="0022597E" w:rsidRDefault="0022597E" w:rsidP="00721E9D">
            <w:pPr>
              <w:keepNext/>
              <w:keepLines/>
              <w:spacing w:line="240" w:lineRule="auto"/>
              <w:rPr>
                <w:rFonts w:eastAsia="Times New Roman"/>
                <w:szCs w:val="24"/>
              </w:rPr>
            </w:pPr>
          </w:p>
        </w:tc>
        <w:tc>
          <w:tcPr>
            <w:tcW w:w="1890" w:type="dxa"/>
            <w:tcBorders>
              <w:top w:val="single" w:sz="4" w:space="0" w:color="auto"/>
              <w:left w:val="nil"/>
              <w:bottom w:val="nil"/>
              <w:right w:val="single" w:sz="4" w:space="0" w:color="auto"/>
            </w:tcBorders>
            <w:shd w:val="clear" w:color="auto" w:fill="auto"/>
            <w:noWrap/>
            <w:vAlign w:val="bottom"/>
            <w:hideMark/>
          </w:tcPr>
          <w:p w14:paraId="586F2B09" w14:textId="77777777" w:rsidR="0022597E" w:rsidRDefault="0022597E" w:rsidP="00721E9D">
            <w:pPr>
              <w:keepNext/>
              <w:keepLines/>
              <w:spacing w:line="240" w:lineRule="auto"/>
              <w:jc w:val="right"/>
              <w:rPr>
                <w:rFonts w:eastAsia="Times New Roman"/>
                <w:b/>
                <w:szCs w:val="24"/>
                <w:highlight w:val="yellow"/>
                <w:u w:val="single"/>
              </w:rPr>
            </w:pPr>
          </w:p>
        </w:tc>
      </w:tr>
      <w:tr w:rsidR="0022597E" w14:paraId="5E627E02" w14:textId="77777777" w:rsidTr="00721E9D">
        <w:trPr>
          <w:cantSplit/>
          <w:trHeight w:val="315"/>
        </w:trPr>
        <w:tc>
          <w:tcPr>
            <w:tcW w:w="3420" w:type="dxa"/>
            <w:tcBorders>
              <w:top w:val="nil"/>
              <w:left w:val="single" w:sz="4" w:space="0" w:color="auto"/>
              <w:bottom w:val="nil"/>
              <w:right w:val="nil"/>
            </w:tcBorders>
            <w:shd w:val="clear" w:color="auto" w:fill="auto"/>
            <w:noWrap/>
            <w:vAlign w:val="bottom"/>
          </w:tcPr>
          <w:p w14:paraId="247C8F32" w14:textId="77777777" w:rsidR="0022597E" w:rsidRPr="0022597E" w:rsidRDefault="0022597E" w:rsidP="00721E9D">
            <w:pPr>
              <w:keepNext/>
              <w:keepLines/>
              <w:spacing w:line="240" w:lineRule="auto"/>
              <w:rPr>
                <w:rFonts w:eastAsia="Times New Roman"/>
                <w:szCs w:val="24"/>
              </w:rPr>
            </w:pPr>
          </w:p>
        </w:tc>
        <w:tc>
          <w:tcPr>
            <w:tcW w:w="2340" w:type="dxa"/>
            <w:tcBorders>
              <w:top w:val="nil"/>
              <w:left w:val="nil"/>
              <w:bottom w:val="nil"/>
              <w:right w:val="nil"/>
            </w:tcBorders>
            <w:shd w:val="clear" w:color="auto" w:fill="auto"/>
            <w:noWrap/>
            <w:vAlign w:val="bottom"/>
          </w:tcPr>
          <w:p w14:paraId="598E38F2" w14:textId="77777777" w:rsidR="0022597E" w:rsidRPr="0022597E" w:rsidRDefault="0022597E" w:rsidP="00721E9D">
            <w:pPr>
              <w:keepNext/>
              <w:keepLines/>
              <w:spacing w:line="240" w:lineRule="auto"/>
              <w:rPr>
                <w:rFonts w:eastAsia="Times New Roman"/>
                <w:szCs w:val="24"/>
              </w:rPr>
            </w:pPr>
          </w:p>
        </w:tc>
        <w:tc>
          <w:tcPr>
            <w:tcW w:w="1890" w:type="dxa"/>
            <w:tcBorders>
              <w:top w:val="nil"/>
              <w:left w:val="nil"/>
              <w:bottom w:val="nil"/>
              <w:right w:val="single" w:sz="4" w:space="0" w:color="auto"/>
            </w:tcBorders>
            <w:shd w:val="clear" w:color="auto" w:fill="auto"/>
            <w:noWrap/>
            <w:vAlign w:val="bottom"/>
          </w:tcPr>
          <w:p w14:paraId="402B7634" w14:textId="77777777" w:rsidR="0022597E" w:rsidRDefault="0022597E" w:rsidP="00721E9D">
            <w:pPr>
              <w:keepNext/>
              <w:keepLines/>
              <w:spacing w:line="240" w:lineRule="auto"/>
              <w:rPr>
                <w:rFonts w:eastAsia="Times New Roman"/>
                <w:szCs w:val="24"/>
                <w:highlight w:val="yellow"/>
              </w:rPr>
            </w:pPr>
          </w:p>
        </w:tc>
      </w:tr>
      <w:tr w:rsidR="00A144FE" w14:paraId="6CA5461E" w14:textId="77777777" w:rsidTr="002D5DDB">
        <w:trPr>
          <w:cantSplit/>
          <w:trHeight w:val="315"/>
        </w:trPr>
        <w:tc>
          <w:tcPr>
            <w:tcW w:w="3420" w:type="dxa"/>
            <w:tcBorders>
              <w:top w:val="nil"/>
              <w:left w:val="single" w:sz="4" w:space="0" w:color="auto"/>
              <w:bottom w:val="nil"/>
              <w:right w:val="nil"/>
            </w:tcBorders>
            <w:shd w:val="clear" w:color="auto" w:fill="auto"/>
            <w:noWrap/>
            <w:vAlign w:val="bottom"/>
            <w:hideMark/>
          </w:tcPr>
          <w:p w14:paraId="0388F9C2" w14:textId="77777777" w:rsidR="00A144FE" w:rsidRPr="0022597E" w:rsidRDefault="00A144FE" w:rsidP="00A144FE">
            <w:pPr>
              <w:keepNext/>
              <w:keepLines/>
              <w:spacing w:line="240" w:lineRule="auto"/>
              <w:ind w:firstLineChars="200" w:firstLine="480"/>
              <w:rPr>
                <w:rFonts w:eastAsia="Times New Roman"/>
                <w:szCs w:val="24"/>
              </w:rPr>
            </w:pPr>
            <w:r w:rsidRPr="0022597E">
              <w:rPr>
                <w:rFonts w:eastAsia="Times New Roman"/>
                <w:szCs w:val="24"/>
              </w:rPr>
              <w:t>Payroll</w:t>
            </w:r>
          </w:p>
        </w:tc>
        <w:tc>
          <w:tcPr>
            <w:tcW w:w="2340" w:type="dxa"/>
            <w:tcBorders>
              <w:top w:val="nil"/>
              <w:left w:val="nil"/>
              <w:bottom w:val="nil"/>
              <w:right w:val="nil"/>
            </w:tcBorders>
            <w:shd w:val="clear" w:color="auto" w:fill="auto"/>
            <w:noWrap/>
            <w:vAlign w:val="center"/>
            <w:hideMark/>
          </w:tcPr>
          <w:p w14:paraId="38E23196" w14:textId="77777777" w:rsidR="00A144FE" w:rsidRPr="0022597E" w:rsidRDefault="00A144FE" w:rsidP="00A144FE">
            <w:pPr>
              <w:keepNext/>
              <w:keepLines/>
              <w:spacing w:line="240" w:lineRule="auto"/>
              <w:rPr>
                <w:rFonts w:eastAsia="Times New Roman"/>
                <w:szCs w:val="24"/>
              </w:rPr>
            </w:pPr>
          </w:p>
        </w:tc>
        <w:tc>
          <w:tcPr>
            <w:tcW w:w="1890" w:type="dxa"/>
            <w:tcBorders>
              <w:top w:val="nil"/>
              <w:left w:val="nil"/>
              <w:bottom w:val="nil"/>
              <w:right w:val="single" w:sz="4" w:space="0" w:color="auto"/>
            </w:tcBorders>
            <w:shd w:val="clear" w:color="auto" w:fill="auto"/>
            <w:noWrap/>
            <w:hideMark/>
          </w:tcPr>
          <w:p w14:paraId="5895247A" w14:textId="3CA166CB" w:rsidR="00A144FE" w:rsidRPr="00A144FE" w:rsidRDefault="00A144FE" w:rsidP="00A144FE">
            <w:pPr>
              <w:keepNext/>
              <w:keepLines/>
              <w:spacing w:line="240" w:lineRule="auto"/>
              <w:rPr>
                <w:rFonts w:eastAsia="Times New Roman"/>
                <w:szCs w:val="24"/>
                <w:highlight w:val="black"/>
              </w:rPr>
            </w:pPr>
            <w:proofErr w:type="spellStart"/>
            <w:r w:rsidRPr="00A144FE">
              <w:rPr>
                <w:rFonts w:eastAsia="Times New Roman"/>
                <w:b/>
                <w:szCs w:val="24"/>
                <w:highlight w:val="black"/>
              </w:rPr>
              <w:t>xxxxxxxx</w:t>
            </w:r>
            <w:proofErr w:type="spellEnd"/>
            <w:r w:rsidRPr="00A144FE">
              <w:rPr>
                <w:rFonts w:eastAsia="Times New Roman"/>
                <w:b/>
                <w:bCs/>
                <w:szCs w:val="24"/>
                <w:highlight w:val="black"/>
              </w:rPr>
              <w:t xml:space="preserve"> </w:t>
            </w:r>
          </w:p>
        </w:tc>
      </w:tr>
      <w:tr w:rsidR="00A144FE" w14:paraId="5603ED76" w14:textId="77777777" w:rsidTr="00721E9D">
        <w:trPr>
          <w:cantSplit/>
          <w:trHeight w:val="315"/>
        </w:trPr>
        <w:tc>
          <w:tcPr>
            <w:tcW w:w="5760" w:type="dxa"/>
            <w:gridSpan w:val="2"/>
            <w:tcBorders>
              <w:top w:val="nil"/>
              <w:left w:val="single" w:sz="4" w:space="0" w:color="auto"/>
              <w:bottom w:val="nil"/>
              <w:right w:val="nil"/>
            </w:tcBorders>
            <w:shd w:val="clear" w:color="auto" w:fill="auto"/>
            <w:noWrap/>
            <w:vAlign w:val="bottom"/>
            <w:hideMark/>
          </w:tcPr>
          <w:p w14:paraId="1B7FD906" w14:textId="77777777" w:rsidR="00A144FE" w:rsidRPr="0022597E" w:rsidRDefault="00A144FE" w:rsidP="00A144FE">
            <w:pPr>
              <w:keepNext/>
              <w:keepLines/>
              <w:spacing w:line="240" w:lineRule="auto"/>
              <w:ind w:firstLineChars="200" w:firstLine="480"/>
              <w:rPr>
                <w:rFonts w:eastAsia="Times New Roman"/>
                <w:szCs w:val="24"/>
              </w:rPr>
            </w:pPr>
            <w:proofErr w:type="spellStart"/>
            <w:r w:rsidRPr="0022597E">
              <w:rPr>
                <w:rFonts w:eastAsia="Times New Roman"/>
                <w:szCs w:val="24"/>
              </w:rPr>
              <w:t>O&amp;M</w:t>
            </w:r>
            <w:proofErr w:type="spellEnd"/>
            <w:r w:rsidRPr="0022597E">
              <w:rPr>
                <w:rFonts w:eastAsia="Times New Roman"/>
                <w:szCs w:val="24"/>
              </w:rPr>
              <w:t xml:space="preserve"> Outage Expense</w:t>
            </w:r>
          </w:p>
        </w:tc>
        <w:tc>
          <w:tcPr>
            <w:tcW w:w="1890" w:type="dxa"/>
            <w:tcBorders>
              <w:top w:val="nil"/>
              <w:left w:val="nil"/>
              <w:bottom w:val="nil"/>
              <w:right w:val="single" w:sz="4" w:space="0" w:color="auto"/>
            </w:tcBorders>
            <w:shd w:val="clear" w:color="auto" w:fill="auto"/>
            <w:noWrap/>
            <w:vAlign w:val="center"/>
            <w:hideMark/>
          </w:tcPr>
          <w:p w14:paraId="12B572DB" w14:textId="0846C48C" w:rsidR="00A144FE" w:rsidRPr="00A144FE" w:rsidRDefault="00A144FE" w:rsidP="00A144FE">
            <w:pPr>
              <w:keepNext/>
              <w:keepLines/>
              <w:spacing w:line="240" w:lineRule="auto"/>
              <w:rPr>
                <w:rFonts w:eastAsia="Times New Roman"/>
                <w:szCs w:val="24"/>
                <w:highlight w:val="black"/>
              </w:rPr>
            </w:pPr>
            <w:proofErr w:type="spellStart"/>
            <w:r w:rsidRPr="00A144FE">
              <w:rPr>
                <w:rFonts w:eastAsia="Times New Roman"/>
                <w:b/>
                <w:szCs w:val="24"/>
                <w:highlight w:val="black"/>
              </w:rPr>
              <w:t>xxxxxxxx</w:t>
            </w:r>
            <w:proofErr w:type="spellEnd"/>
          </w:p>
        </w:tc>
      </w:tr>
      <w:tr w:rsidR="00A144FE" w14:paraId="2125694C" w14:textId="77777777" w:rsidTr="002D5DDB">
        <w:trPr>
          <w:cantSplit/>
          <w:trHeight w:val="315"/>
        </w:trPr>
        <w:tc>
          <w:tcPr>
            <w:tcW w:w="3420" w:type="dxa"/>
            <w:tcBorders>
              <w:top w:val="nil"/>
              <w:left w:val="single" w:sz="4" w:space="0" w:color="auto"/>
              <w:bottom w:val="nil"/>
              <w:right w:val="nil"/>
            </w:tcBorders>
            <w:shd w:val="clear" w:color="auto" w:fill="auto"/>
            <w:noWrap/>
            <w:vAlign w:val="bottom"/>
            <w:hideMark/>
          </w:tcPr>
          <w:p w14:paraId="6FB9A0A8" w14:textId="77777777" w:rsidR="00A144FE" w:rsidRPr="0022597E" w:rsidRDefault="00A144FE" w:rsidP="00A144FE">
            <w:pPr>
              <w:keepNext/>
              <w:keepLines/>
              <w:spacing w:line="240" w:lineRule="auto"/>
              <w:ind w:firstLineChars="200" w:firstLine="480"/>
              <w:rPr>
                <w:rFonts w:eastAsia="Times New Roman"/>
                <w:szCs w:val="24"/>
              </w:rPr>
            </w:pPr>
            <w:proofErr w:type="spellStart"/>
            <w:r w:rsidRPr="0022597E">
              <w:rPr>
                <w:rFonts w:eastAsia="Times New Roman"/>
                <w:szCs w:val="24"/>
              </w:rPr>
              <w:t>O&amp;M</w:t>
            </w:r>
            <w:proofErr w:type="spellEnd"/>
            <w:r w:rsidRPr="0022597E">
              <w:rPr>
                <w:rFonts w:eastAsia="Times New Roman"/>
                <w:szCs w:val="24"/>
              </w:rPr>
              <w:t xml:space="preserve"> Baseline Expense</w:t>
            </w:r>
          </w:p>
        </w:tc>
        <w:tc>
          <w:tcPr>
            <w:tcW w:w="2340" w:type="dxa"/>
            <w:tcBorders>
              <w:top w:val="nil"/>
              <w:left w:val="nil"/>
              <w:bottom w:val="nil"/>
              <w:right w:val="nil"/>
            </w:tcBorders>
            <w:shd w:val="clear" w:color="auto" w:fill="auto"/>
            <w:noWrap/>
            <w:vAlign w:val="bottom"/>
            <w:hideMark/>
          </w:tcPr>
          <w:p w14:paraId="3F55303D" w14:textId="77777777" w:rsidR="00A144FE" w:rsidRPr="0022597E" w:rsidRDefault="00A144FE" w:rsidP="00A144FE">
            <w:pPr>
              <w:keepNext/>
              <w:keepLines/>
              <w:spacing w:line="240" w:lineRule="auto"/>
              <w:rPr>
                <w:rFonts w:eastAsia="Times New Roman"/>
                <w:szCs w:val="24"/>
              </w:rPr>
            </w:pPr>
          </w:p>
        </w:tc>
        <w:tc>
          <w:tcPr>
            <w:tcW w:w="1890" w:type="dxa"/>
            <w:tcBorders>
              <w:top w:val="nil"/>
              <w:left w:val="nil"/>
              <w:bottom w:val="nil"/>
              <w:right w:val="single" w:sz="4" w:space="0" w:color="auto"/>
            </w:tcBorders>
            <w:shd w:val="clear" w:color="auto" w:fill="auto"/>
            <w:noWrap/>
            <w:hideMark/>
          </w:tcPr>
          <w:p w14:paraId="42285A85" w14:textId="428AF9E4" w:rsidR="00A144FE" w:rsidRPr="00A144FE" w:rsidRDefault="00A144FE" w:rsidP="00A144FE">
            <w:pPr>
              <w:keepNext/>
              <w:keepLines/>
              <w:spacing w:line="240" w:lineRule="auto"/>
              <w:rPr>
                <w:rFonts w:eastAsia="Times New Roman"/>
                <w:szCs w:val="24"/>
                <w:highlight w:val="black"/>
                <w:u w:val="single"/>
              </w:rPr>
            </w:pPr>
            <w:proofErr w:type="spellStart"/>
            <w:r w:rsidRPr="00A144FE">
              <w:rPr>
                <w:rFonts w:eastAsia="Times New Roman"/>
                <w:b/>
                <w:szCs w:val="24"/>
                <w:highlight w:val="black"/>
              </w:rPr>
              <w:t>xxxxxxxx</w:t>
            </w:r>
            <w:proofErr w:type="spellEnd"/>
            <w:r w:rsidRPr="00A144FE">
              <w:rPr>
                <w:rFonts w:eastAsia="Times New Roman"/>
                <w:b/>
                <w:bCs/>
                <w:szCs w:val="24"/>
                <w:highlight w:val="black"/>
              </w:rPr>
              <w:t xml:space="preserve"> </w:t>
            </w:r>
          </w:p>
        </w:tc>
      </w:tr>
      <w:tr w:rsidR="0022597E" w14:paraId="09B5D755" w14:textId="77777777" w:rsidTr="00721E9D">
        <w:trPr>
          <w:cantSplit/>
          <w:trHeight w:val="315"/>
        </w:trPr>
        <w:tc>
          <w:tcPr>
            <w:tcW w:w="3420" w:type="dxa"/>
            <w:tcBorders>
              <w:top w:val="nil"/>
              <w:left w:val="single" w:sz="4" w:space="0" w:color="auto"/>
              <w:bottom w:val="nil"/>
              <w:right w:val="nil"/>
            </w:tcBorders>
            <w:shd w:val="clear" w:color="auto" w:fill="auto"/>
            <w:noWrap/>
            <w:vAlign w:val="bottom"/>
            <w:hideMark/>
          </w:tcPr>
          <w:p w14:paraId="33455F4D" w14:textId="77777777" w:rsidR="0022597E" w:rsidRPr="0022597E" w:rsidRDefault="0022597E" w:rsidP="00721E9D">
            <w:pPr>
              <w:keepNext/>
              <w:keepLines/>
              <w:spacing w:line="240" w:lineRule="auto"/>
              <w:ind w:firstLineChars="200" w:firstLine="480"/>
              <w:rPr>
                <w:rFonts w:eastAsia="Times New Roman"/>
                <w:szCs w:val="24"/>
              </w:rPr>
            </w:pPr>
          </w:p>
        </w:tc>
        <w:tc>
          <w:tcPr>
            <w:tcW w:w="2340" w:type="dxa"/>
            <w:tcBorders>
              <w:top w:val="nil"/>
              <w:left w:val="nil"/>
              <w:bottom w:val="nil"/>
              <w:right w:val="nil"/>
            </w:tcBorders>
            <w:shd w:val="clear" w:color="auto" w:fill="auto"/>
            <w:noWrap/>
            <w:vAlign w:val="bottom"/>
            <w:hideMark/>
          </w:tcPr>
          <w:p w14:paraId="0765ECE2" w14:textId="77777777" w:rsidR="0022597E" w:rsidRPr="0022597E" w:rsidRDefault="0022597E" w:rsidP="00721E9D">
            <w:pPr>
              <w:keepNext/>
              <w:keepLines/>
              <w:spacing w:line="240" w:lineRule="auto"/>
              <w:jc w:val="right"/>
              <w:rPr>
                <w:rFonts w:eastAsia="Times New Roman"/>
                <w:szCs w:val="24"/>
              </w:rPr>
            </w:pPr>
            <w:r w:rsidRPr="0022597E">
              <w:rPr>
                <w:rFonts w:eastAsia="Times New Roman"/>
                <w:szCs w:val="24"/>
              </w:rPr>
              <w:t xml:space="preserve">Total </w:t>
            </w:r>
            <w:proofErr w:type="spellStart"/>
            <w:r w:rsidRPr="0022597E">
              <w:rPr>
                <w:rFonts w:eastAsia="Times New Roman"/>
                <w:szCs w:val="24"/>
              </w:rPr>
              <w:t>O&amp;M</w:t>
            </w:r>
            <w:proofErr w:type="spellEnd"/>
            <w:r w:rsidRPr="0022597E">
              <w:rPr>
                <w:rFonts w:eastAsia="Times New Roman"/>
                <w:szCs w:val="24"/>
              </w:rPr>
              <w:t xml:space="preserve"> Expense</w:t>
            </w:r>
          </w:p>
        </w:tc>
        <w:tc>
          <w:tcPr>
            <w:tcW w:w="1890" w:type="dxa"/>
            <w:tcBorders>
              <w:top w:val="nil"/>
              <w:left w:val="nil"/>
              <w:bottom w:val="nil"/>
              <w:right w:val="single" w:sz="4" w:space="0" w:color="auto"/>
            </w:tcBorders>
            <w:shd w:val="clear" w:color="auto" w:fill="auto"/>
            <w:noWrap/>
            <w:vAlign w:val="center"/>
            <w:hideMark/>
          </w:tcPr>
          <w:p w14:paraId="6C3D60C2" w14:textId="77D6092E" w:rsidR="0022597E" w:rsidRPr="00A144FE" w:rsidRDefault="00A144FE" w:rsidP="00721E9D">
            <w:pPr>
              <w:keepNext/>
              <w:keepLines/>
              <w:spacing w:line="240" w:lineRule="auto"/>
              <w:rPr>
                <w:rFonts w:eastAsia="Times New Roman"/>
                <w:szCs w:val="24"/>
                <w:highlight w:val="black"/>
              </w:rPr>
            </w:pPr>
            <w:proofErr w:type="spellStart"/>
            <w:r w:rsidRPr="00A144FE">
              <w:rPr>
                <w:rFonts w:eastAsia="Times New Roman"/>
                <w:b/>
                <w:szCs w:val="24"/>
                <w:highlight w:val="black"/>
              </w:rPr>
              <w:t>xxxxxxxx</w:t>
            </w:r>
            <w:proofErr w:type="spellEnd"/>
          </w:p>
        </w:tc>
      </w:tr>
      <w:tr w:rsidR="0022597E" w14:paraId="5288FF79" w14:textId="77777777" w:rsidTr="00721E9D">
        <w:trPr>
          <w:cantSplit/>
          <w:trHeight w:val="315"/>
        </w:trPr>
        <w:tc>
          <w:tcPr>
            <w:tcW w:w="3420" w:type="dxa"/>
            <w:tcBorders>
              <w:top w:val="nil"/>
              <w:left w:val="single" w:sz="4" w:space="0" w:color="auto"/>
              <w:bottom w:val="nil"/>
              <w:right w:val="nil"/>
            </w:tcBorders>
            <w:shd w:val="clear" w:color="auto" w:fill="auto"/>
            <w:noWrap/>
            <w:vAlign w:val="bottom"/>
          </w:tcPr>
          <w:p w14:paraId="20129E3D" w14:textId="77777777" w:rsidR="0022597E" w:rsidRPr="0022597E" w:rsidRDefault="0022597E" w:rsidP="00721E9D">
            <w:pPr>
              <w:keepNext/>
              <w:keepLines/>
              <w:spacing w:line="240" w:lineRule="auto"/>
              <w:rPr>
                <w:rFonts w:eastAsia="Times New Roman"/>
                <w:szCs w:val="24"/>
              </w:rPr>
            </w:pPr>
          </w:p>
        </w:tc>
        <w:tc>
          <w:tcPr>
            <w:tcW w:w="2340" w:type="dxa"/>
            <w:tcBorders>
              <w:top w:val="nil"/>
              <w:left w:val="nil"/>
              <w:bottom w:val="nil"/>
              <w:right w:val="nil"/>
            </w:tcBorders>
            <w:shd w:val="clear" w:color="auto" w:fill="auto"/>
            <w:noWrap/>
            <w:vAlign w:val="bottom"/>
          </w:tcPr>
          <w:p w14:paraId="054D5325" w14:textId="77777777" w:rsidR="0022597E" w:rsidRPr="0022597E" w:rsidRDefault="0022597E" w:rsidP="00721E9D">
            <w:pPr>
              <w:keepNext/>
              <w:keepLines/>
              <w:spacing w:line="240" w:lineRule="auto"/>
              <w:rPr>
                <w:rFonts w:eastAsia="Times New Roman"/>
                <w:szCs w:val="24"/>
              </w:rPr>
            </w:pPr>
          </w:p>
        </w:tc>
        <w:tc>
          <w:tcPr>
            <w:tcW w:w="1890" w:type="dxa"/>
            <w:tcBorders>
              <w:top w:val="nil"/>
              <w:left w:val="nil"/>
              <w:bottom w:val="nil"/>
              <w:right w:val="single" w:sz="4" w:space="0" w:color="auto"/>
            </w:tcBorders>
            <w:shd w:val="clear" w:color="auto" w:fill="auto"/>
            <w:noWrap/>
            <w:vAlign w:val="bottom"/>
          </w:tcPr>
          <w:p w14:paraId="027B62C6" w14:textId="77777777" w:rsidR="0022597E" w:rsidRPr="00A144FE" w:rsidRDefault="0022597E" w:rsidP="00721E9D">
            <w:pPr>
              <w:keepNext/>
              <w:keepLines/>
              <w:spacing w:line="240" w:lineRule="auto"/>
              <w:rPr>
                <w:rFonts w:eastAsia="Times New Roman"/>
                <w:szCs w:val="24"/>
                <w:highlight w:val="black"/>
              </w:rPr>
            </w:pPr>
          </w:p>
        </w:tc>
      </w:tr>
      <w:tr w:rsidR="0022597E" w14:paraId="16D8C5CD" w14:textId="77777777" w:rsidTr="00721E9D">
        <w:trPr>
          <w:cantSplit/>
          <w:trHeight w:val="180"/>
        </w:trPr>
        <w:tc>
          <w:tcPr>
            <w:tcW w:w="3420" w:type="dxa"/>
            <w:tcBorders>
              <w:top w:val="nil"/>
              <w:left w:val="single" w:sz="4" w:space="0" w:color="auto"/>
              <w:bottom w:val="nil"/>
              <w:right w:val="nil"/>
            </w:tcBorders>
            <w:shd w:val="clear" w:color="auto" w:fill="auto"/>
            <w:noWrap/>
            <w:vAlign w:val="bottom"/>
            <w:hideMark/>
          </w:tcPr>
          <w:p w14:paraId="6CBDB1FA" w14:textId="77777777" w:rsidR="0022597E" w:rsidRPr="0022597E" w:rsidRDefault="0022597E" w:rsidP="00721E9D">
            <w:pPr>
              <w:keepNext/>
              <w:keepLines/>
              <w:spacing w:line="240" w:lineRule="auto"/>
              <w:ind w:firstLineChars="200" w:firstLine="480"/>
              <w:rPr>
                <w:rFonts w:eastAsia="Times New Roman"/>
                <w:szCs w:val="24"/>
              </w:rPr>
            </w:pPr>
            <w:r w:rsidRPr="0022597E">
              <w:rPr>
                <w:rFonts w:eastAsia="Times New Roman"/>
                <w:szCs w:val="24"/>
              </w:rPr>
              <w:t>Insurance</w:t>
            </w:r>
          </w:p>
        </w:tc>
        <w:tc>
          <w:tcPr>
            <w:tcW w:w="2340" w:type="dxa"/>
            <w:tcBorders>
              <w:top w:val="nil"/>
              <w:left w:val="nil"/>
              <w:bottom w:val="nil"/>
              <w:right w:val="nil"/>
            </w:tcBorders>
            <w:shd w:val="clear" w:color="auto" w:fill="auto"/>
            <w:noWrap/>
            <w:vAlign w:val="bottom"/>
            <w:hideMark/>
          </w:tcPr>
          <w:p w14:paraId="4461BFAD" w14:textId="77777777" w:rsidR="0022597E" w:rsidRPr="0022597E" w:rsidRDefault="0022597E" w:rsidP="00721E9D">
            <w:pPr>
              <w:keepNext/>
              <w:keepLines/>
              <w:spacing w:line="240" w:lineRule="auto"/>
              <w:rPr>
                <w:rFonts w:eastAsia="Times New Roman"/>
                <w:szCs w:val="24"/>
              </w:rPr>
            </w:pPr>
          </w:p>
        </w:tc>
        <w:tc>
          <w:tcPr>
            <w:tcW w:w="1890" w:type="dxa"/>
            <w:tcBorders>
              <w:top w:val="nil"/>
              <w:left w:val="nil"/>
              <w:bottom w:val="nil"/>
              <w:right w:val="single" w:sz="4" w:space="0" w:color="auto"/>
            </w:tcBorders>
            <w:shd w:val="clear" w:color="auto" w:fill="auto"/>
            <w:noWrap/>
            <w:vAlign w:val="center"/>
            <w:hideMark/>
          </w:tcPr>
          <w:p w14:paraId="7503336D" w14:textId="13740F65" w:rsidR="0022597E" w:rsidRPr="00A144FE" w:rsidRDefault="00A144FE" w:rsidP="00721E9D">
            <w:pPr>
              <w:keepNext/>
              <w:keepLines/>
              <w:spacing w:line="240" w:lineRule="auto"/>
              <w:rPr>
                <w:rFonts w:eastAsia="Times New Roman"/>
                <w:szCs w:val="24"/>
                <w:highlight w:val="black"/>
                <w:u w:val="single"/>
              </w:rPr>
            </w:pPr>
            <w:proofErr w:type="spellStart"/>
            <w:r w:rsidRPr="00A144FE">
              <w:rPr>
                <w:rFonts w:eastAsia="Times New Roman"/>
                <w:b/>
                <w:szCs w:val="24"/>
                <w:highlight w:val="black"/>
              </w:rPr>
              <w:t>xxxxxxxx</w:t>
            </w:r>
            <w:proofErr w:type="spellEnd"/>
          </w:p>
        </w:tc>
      </w:tr>
      <w:tr w:rsidR="0022597E" w14:paraId="4D74C6C7" w14:textId="77777777" w:rsidTr="00721E9D">
        <w:trPr>
          <w:cantSplit/>
          <w:trHeight w:val="195"/>
        </w:trPr>
        <w:tc>
          <w:tcPr>
            <w:tcW w:w="3420" w:type="dxa"/>
            <w:tcBorders>
              <w:top w:val="nil"/>
              <w:left w:val="single" w:sz="4" w:space="0" w:color="auto"/>
              <w:bottom w:val="nil"/>
              <w:right w:val="nil"/>
            </w:tcBorders>
            <w:shd w:val="clear" w:color="auto" w:fill="auto"/>
            <w:noWrap/>
            <w:vAlign w:val="bottom"/>
            <w:hideMark/>
          </w:tcPr>
          <w:p w14:paraId="1528FDDA" w14:textId="77777777" w:rsidR="0022597E" w:rsidRPr="0022597E" w:rsidRDefault="0022597E" w:rsidP="00721E9D">
            <w:pPr>
              <w:keepNext/>
              <w:keepLines/>
              <w:spacing w:line="240" w:lineRule="auto"/>
              <w:ind w:firstLineChars="200" w:firstLine="480"/>
              <w:rPr>
                <w:rFonts w:eastAsia="Times New Roman"/>
                <w:szCs w:val="24"/>
              </w:rPr>
            </w:pPr>
          </w:p>
        </w:tc>
        <w:tc>
          <w:tcPr>
            <w:tcW w:w="2340" w:type="dxa"/>
            <w:tcBorders>
              <w:top w:val="nil"/>
              <w:left w:val="nil"/>
              <w:bottom w:val="nil"/>
              <w:right w:val="nil"/>
            </w:tcBorders>
            <w:shd w:val="clear" w:color="auto" w:fill="auto"/>
            <w:noWrap/>
            <w:vAlign w:val="bottom"/>
            <w:hideMark/>
          </w:tcPr>
          <w:p w14:paraId="609F4665" w14:textId="77777777" w:rsidR="0022597E" w:rsidRPr="0022597E" w:rsidRDefault="0022597E" w:rsidP="00721E9D">
            <w:pPr>
              <w:keepNext/>
              <w:keepLines/>
              <w:spacing w:line="240" w:lineRule="auto"/>
              <w:jc w:val="right"/>
              <w:rPr>
                <w:rFonts w:eastAsia="Times New Roman"/>
                <w:szCs w:val="24"/>
              </w:rPr>
            </w:pPr>
            <w:r w:rsidRPr="0022597E">
              <w:rPr>
                <w:rFonts w:eastAsia="Times New Roman"/>
                <w:szCs w:val="24"/>
              </w:rPr>
              <w:t>Total Other Operating Expense</w:t>
            </w:r>
          </w:p>
        </w:tc>
        <w:tc>
          <w:tcPr>
            <w:tcW w:w="1890" w:type="dxa"/>
            <w:tcBorders>
              <w:top w:val="nil"/>
              <w:left w:val="nil"/>
              <w:bottom w:val="nil"/>
              <w:right w:val="single" w:sz="4" w:space="0" w:color="auto"/>
            </w:tcBorders>
            <w:shd w:val="clear" w:color="auto" w:fill="auto"/>
            <w:noWrap/>
            <w:vAlign w:val="center"/>
            <w:hideMark/>
          </w:tcPr>
          <w:p w14:paraId="595C855B" w14:textId="2FC63613" w:rsidR="0022597E" w:rsidRPr="00A144FE" w:rsidRDefault="00A144FE" w:rsidP="00A144FE">
            <w:pPr>
              <w:keepNext/>
              <w:keepLines/>
              <w:spacing w:line="240" w:lineRule="auto"/>
              <w:rPr>
                <w:rFonts w:eastAsia="Times New Roman"/>
                <w:szCs w:val="24"/>
                <w:highlight w:val="black"/>
              </w:rPr>
            </w:pPr>
            <w:proofErr w:type="spellStart"/>
            <w:r w:rsidRPr="00A144FE">
              <w:rPr>
                <w:rFonts w:eastAsia="Times New Roman"/>
                <w:b/>
                <w:szCs w:val="24"/>
                <w:highlight w:val="black"/>
              </w:rPr>
              <w:t>xxxxxxxx</w:t>
            </w:r>
            <w:proofErr w:type="spellEnd"/>
          </w:p>
        </w:tc>
      </w:tr>
      <w:tr w:rsidR="0022597E" w14:paraId="2598056B" w14:textId="77777777" w:rsidTr="00721E9D">
        <w:trPr>
          <w:cantSplit/>
          <w:trHeight w:val="315"/>
        </w:trPr>
        <w:tc>
          <w:tcPr>
            <w:tcW w:w="3420" w:type="dxa"/>
            <w:tcBorders>
              <w:top w:val="nil"/>
              <w:left w:val="single" w:sz="4" w:space="0" w:color="auto"/>
              <w:bottom w:val="nil"/>
              <w:right w:val="nil"/>
            </w:tcBorders>
            <w:shd w:val="clear" w:color="auto" w:fill="auto"/>
            <w:noWrap/>
            <w:vAlign w:val="bottom"/>
            <w:hideMark/>
          </w:tcPr>
          <w:p w14:paraId="13FAAE84" w14:textId="77777777" w:rsidR="0022597E" w:rsidRPr="0022597E" w:rsidRDefault="0022597E" w:rsidP="00721E9D">
            <w:pPr>
              <w:keepNext/>
              <w:keepLines/>
              <w:spacing w:line="240" w:lineRule="auto"/>
              <w:ind w:firstLineChars="200" w:firstLine="480"/>
              <w:rPr>
                <w:rFonts w:eastAsia="Times New Roman"/>
                <w:szCs w:val="24"/>
              </w:rPr>
            </w:pPr>
          </w:p>
        </w:tc>
        <w:tc>
          <w:tcPr>
            <w:tcW w:w="2340" w:type="dxa"/>
            <w:tcBorders>
              <w:top w:val="nil"/>
              <w:left w:val="nil"/>
              <w:bottom w:val="nil"/>
              <w:right w:val="nil"/>
            </w:tcBorders>
            <w:shd w:val="clear" w:color="auto" w:fill="auto"/>
            <w:noWrap/>
            <w:vAlign w:val="bottom"/>
            <w:hideMark/>
          </w:tcPr>
          <w:p w14:paraId="1305B8DA" w14:textId="77777777" w:rsidR="0022597E" w:rsidRPr="0022597E" w:rsidRDefault="0022597E" w:rsidP="00721E9D">
            <w:pPr>
              <w:keepNext/>
              <w:keepLines/>
              <w:spacing w:line="240" w:lineRule="auto"/>
              <w:rPr>
                <w:rFonts w:eastAsia="Times New Roman"/>
                <w:szCs w:val="24"/>
              </w:rPr>
            </w:pPr>
          </w:p>
        </w:tc>
        <w:tc>
          <w:tcPr>
            <w:tcW w:w="1890" w:type="dxa"/>
            <w:tcBorders>
              <w:top w:val="nil"/>
              <w:left w:val="nil"/>
              <w:bottom w:val="nil"/>
              <w:right w:val="single" w:sz="4" w:space="0" w:color="auto"/>
            </w:tcBorders>
            <w:shd w:val="clear" w:color="auto" w:fill="auto"/>
            <w:noWrap/>
            <w:vAlign w:val="bottom"/>
            <w:hideMark/>
          </w:tcPr>
          <w:p w14:paraId="5D912DD4" w14:textId="77777777" w:rsidR="0022597E" w:rsidRPr="00A144FE" w:rsidRDefault="0022597E" w:rsidP="00721E9D">
            <w:pPr>
              <w:keepNext/>
              <w:keepLines/>
              <w:spacing w:line="240" w:lineRule="auto"/>
              <w:rPr>
                <w:rFonts w:eastAsia="Times New Roman"/>
                <w:szCs w:val="24"/>
                <w:highlight w:val="black"/>
                <w:u w:val="single"/>
              </w:rPr>
            </w:pPr>
          </w:p>
        </w:tc>
      </w:tr>
      <w:tr w:rsidR="0022597E" w14:paraId="16B70B48" w14:textId="77777777" w:rsidTr="00721E9D">
        <w:trPr>
          <w:cantSplit/>
          <w:trHeight w:val="315"/>
        </w:trPr>
        <w:tc>
          <w:tcPr>
            <w:tcW w:w="3420" w:type="dxa"/>
            <w:tcBorders>
              <w:top w:val="nil"/>
              <w:left w:val="single" w:sz="4" w:space="0" w:color="auto"/>
              <w:bottom w:val="single" w:sz="4" w:space="0" w:color="auto"/>
              <w:right w:val="nil"/>
            </w:tcBorders>
            <w:shd w:val="clear" w:color="auto" w:fill="auto"/>
            <w:noWrap/>
            <w:vAlign w:val="bottom"/>
            <w:hideMark/>
          </w:tcPr>
          <w:p w14:paraId="5414A6D2" w14:textId="77777777" w:rsidR="0022597E" w:rsidRPr="0022597E" w:rsidRDefault="0022597E" w:rsidP="00721E9D">
            <w:pPr>
              <w:keepNext/>
              <w:keepLines/>
              <w:spacing w:line="240" w:lineRule="auto"/>
              <w:rPr>
                <w:rFonts w:eastAsia="Times New Roman"/>
                <w:b/>
                <w:szCs w:val="24"/>
              </w:rPr>
            </w:pPr>
            <w:r w:rsidRPr="0022597E">
              <w:rPr>
                <w:rFonts w:eastAsia="Times New Roman"/>
                <w:b/>
                <w:szCs w:val="24"/>
              </w:rPr>
              <w:t xml:space="preserve">TOTAL </w:t>
            </w:r>
            <w:proofErr w:type="spellStart"/>
            <w:r w:rsidRPr="0022597E">
              <w:rPr>
                <w:rFonts w:eastAsia="Times New Roman"/>
                <w:b/>
                <w:szCs w:val="24"/>
              </w:rPr>
              <w:t>O&amp;M</w:t>
            </w:r>
            <w:proofErr w:type="spellEnd"/>
          </w:p>
        </w:tc>
        <w:tc>
          <w:tcPr>
            <w:tcW w:w="2340" w:type="dxa"/>
            <w:tcBorders>
              <w:top w:val="nil"/>
              <w:left w:val="nil"/>
              <w:bottom w:val="single" w:sz="4" w:space="0" w:color="auto"/>
              <w:right w:val="nil"/>
            </w:tcBorders>
            <w:shd w:val="clear" w:color="auto" w:fill="auto"/>
            <w:noWrap/>
            <w:vAlign w:val="bottom"/>
            <w:hideMark/>
          </w:tcPr>
          <w:p w14:paraId="3750B509" w14:textId="77777777" w:rsidR="0022597E" w:rsidRPr="0022597E" w:rsidRDefault="0022597E" w:rsidP="00721E9D">
            <w:pPr>
              <w:keepNext/>
              <w:keepLines/>
              <w:spacing w:line="240" w:lineRule="auto"/>
              <w:rPr>
                <w:rFonts w:eastAsia="Times New Roman"/>
                <w:szCs w:val="24"/>
              </w:rPr>
            </w:pPr>
          </w:p>
        </w:tc>
        <w:tc>
          <w:tcPr>
            <w:tcW w:w="1890" w:type="dxa"/>
            <w:tcBorders>
              <w:top w:val="nil"/>
              <w:left w:val="nil"/>
              <w:bottom w:val="single" w:sz="4" w:space="0" w:color="auto"/>
              <w:right w:val="single" w:sz="4" w:space="0" w:color="auto"/>
            </w:tcBorders>
            <w:shd w:val="clear" w:color="auto" w:fill="auto"/>
            <w:noWrap/>
            <w:vAlign w:val="bottom"/>
            <w:hideMark/>
          </w:tcPr>
          <w:p w14:paraId="2E3DDF94" w14:textId="1F4548EF" w:rsidR="0022597E" w:rsidRPr="00A144FE" w:rsidRDefault="00A144FE" w:rsidP="00721E9D">
            <w:pPr>
              <w:keepNext/>
              <w:keepLines/>
              <w:spacing w:line="240" w:lineRule="auto"/>
              <w:rPr>
                <w:rFonts w:eastAsia="Times New Roman"/>
                <w:b/>
                <w:bCs/>
                <w:szCs w:val="24"/>
                <w:highlight w:val="black"/>
              </w:rPr>
            </w:pPr>
            <w:proofErr w:type="spellStart"/>
            <w:r w:rsidRPr="00A144FE">
              <w:rPr>
                <w:rFonts w:eastAsia="Times New Roman"/>
                <w:b/>
                <w:szCs w:val="24"/>
                <w:highlight w:val="black"/>
              </w:rPr>
              <w:t>xxxxxxxx</w:t>
            </w:r>
            <w:proofErr w:type="spellEnd"/>
            <w:r w:rsidR="0022597E" w:rsidRPr="00A144FE">
              <w:rPr>
                <w:rFonts w:eastAsia="Times New Roman"/>
                <w:b/>
                <w:bCs/>
                <w:szCs w:val="24"/>
                <w:highlight w:val="black"/>
              </w:rPr>
              <w:t xml:space="preserve"> </w:t>
            </w:r>
          </w:p>
        </w:tc>
      </w:tr>
    </w:tbl>
    <w:p w14:paraId="169857DE" w14:textId="77777777" w:rsidR="006D430A" w:rsidRDefault="006D430A">
      <w:pPr>
        <w:pStyle w:val="Answer"/>
        <w:suppressLineNumbers/>
      </w:pPr>
    </w:p>
    <w:p w14:paraId="169857DF" w14:textId="77777777" w:rsidR="006D430A" w:rsidRDefault="009E794D">
      <w:pPr>
        <w:pStyle w:val="Question"/>
      </w:pPr>
      <w:r>
        <w:t>HOW WAS THE PAYROLL COST ESTIMATE PREPARED?</w:t>
      </w:r>
    </w:p>
    <w:p w14:paraId="169857E0" w14:textId="1ACD8173" w:rsidR="006D430A" w:rsidRDefault="009E794D">
      <w:pPr>
        <w:pStyle w:val="Answer"/>
      </w:pPr>
      <w:r>
        <w:t>A.</w:t>
      </w:r>
      <w:r>
        <w:tab/>
        <w:t xml:space="preserve">A preliminary incremental plant staffing organizational chart was developed, based on experience with combined-cycle plant operations in general (including experience with </w:t>
      </w:r>
      <w:proofErr w:type="spellStart"/>
      <w:r>
        <w:t>MCPS</w:t>
      </w:r>
      <w:proofErr w:type="spellEnd"/>
      <w:r>
        <w:t xml:space="preserve">), that takes into account the expected staffing of OCAPS when it reaches commercial operation.  That preliminary organizational chart is attached as Exhibit CR-7.  Labor rates were then applied to the different job families and </w:t>
      </w:r>
      <w:r>
        <w:lastRenderedPageBreak/>
        <w:t xml:space="preserve">incremental headcount included in that organizational chart.  Those costs were then totaled to arrive at the annual plant staff labor figure shown in the table above.  This reflects the payroll associated with incremental headcount required to operate OCAPS.  </w:t>
      </w:r>
    </w:p>
    <w:p w14:paraId="169857E1" w14:textId="77777777" w:rsidR="006D430A" w:rsidRDefault="006D430A">
      <w:pPr>
        <w:pStyle w:val="Answer"/>
      </w:pPr>
    </w:p>
    <w:p w14:paraId="169857E2" w14:textId="77777777" w:rsidR="006D430A" w:rsidRDefault="009E794D">
      <w:pPr>
        <w:pStyle w:val="Question"/>
      </w:pPr>
      <w:r>
        <w:t xml:space="preserve">WHAT ARE THE </w:t>
      </w:r>
      <w:proofErr w:type="spellStart"/>
      <w:r>
        <w:t>O&amp;M</w:t>
      </w:r>
      <w:proofErr w:type="spellEnd"/>
      <w:r>
        <w:t xml:space="preserve"> OUTAGE EXPENSES INCLUDED IN TABLE 5?</w:t>
      </w:r>
    </w:p>
    <w:p w14:paraId="169857E3" w14:textId="77777777" w:rsidR="006D430A" w:rsidRDefault="009E794D">
      <w:pPr>
        <w:pStyle w:val="Answer"/>
      </w:pPr>
      <w:r>
        <w:t>A.</w:t>
      </w:r>
      <w:r>
        <w:tab/>
        <w:t xml:space="preserve">The </w:t>
      </w:r>
      <w:proofErr w:type="spellStart"/>
      <w:r>
        <w:t>O&amp;M</w:t>
      </w:r>
      <w:proofErr w:type="spellEnd"/>
      <w:r>
        <w:t xml:space="preserve"> outage expenses listed in Table 5 include routine annual maintenance expenses incurred as part of annual planned maintenance outages.  The costs in Table 5 do not include periodic major maintenance on the combustion turbines and associated generators, which will be covered under the </w:t>
      </w:r>
      <w:proofErr w:type="spellStart"/>
      <w:r>
        <w:t>LTSA</w:t>
      </w:r>
      <w:proofErr w:type="spellEnd"/>
      <w:r>
        <w:t>.</w:t>
      </w:r>
    </w:p>
    <w:p w14:paraId="169857E4" w14:textId="77777777" w:rsidR="006D430A" w:rsidRDefault="006D430A">
      <w:pPr>
        <w:pStyle w:val="Answer"/>
      </w:pPr>
    </w:p>
    <w:p w14:paraId="169857E5" w14:textId="77777777" w:rsidR="006D430A" w:rsidRDefault="009E794D">
      <w:pPr>
        <w:pStyle w:val="Question"/>
      </w:pPr>
      <w:r>
        <w:t xml:space="preserve">WHAT TYPES OF COSTS ARE INCLUDED IN </w:t>
      </w:r>
      <w:proofErr w:type="spellStart"/>
      <w:r>
        <w:t>O&amp;M</w:t>
      </w:r>
      <w:proofErr w:type="spellEnd"/>
      <w:r>
        <w:t xml:space="preserve"> BASELINE EXPENSE?</w:t>
      </w:r>
    </w:p>
    <w:p w14:paraId="169857E6" w14:textId="77777777" w:rsidR="006D430A" w:rsidRDefault="009E794D">
      <w:pPr>
        <w:pStyle w:val="Answer"/>
      </w:pPr>
      <w:r>
        <w:t>A.</w:t>
      </w:r>
      <w:r>
        <w:tab/>
        <w:t xml:space="preserve">OCAPS will be a set of large, complex mechanical systems that will require annual maintenance to ensure continued reliable, safe, and economic operations.  This maintenance will require materials, chemicals, labor, and rental equipment, and will address the </w:t>
      </w:r>
      <w:proofErr w:type="spellStart"/>
      <w:r>
        <w:t>O&amp;M</w:t>
      </w:r>
      <w:proofErr w:type="spellEnd"/>
      <w:r>
        <w:t xml:space="preserve"> costs for activities not covered by the unit’s </w:t>
      </w:r>
      <w:proofErr w:type="spellStart"/>
      <w:r>
        <w:t>LTSA</w:t>
      </w:r>
      <w:proofErr w:type="spellEnd"/>
      <w:r>
        <w:t xml:space="preserve"> for the following equipment and systems: combustion turbines and generators, steam turbine and generator, </w:t>
      </w:r>
      <w:proofErr w:type="spellStart"/>
      <w:r>
        <w:t>HRSGs</w:t>
      </w:r>
      <w:proofErr w:type="spellEnd"/>
      <w:r>
        <w:t xml:space="preserve">, electrical instruments and controls, circulating water and water production systems, environmental systems, and substation and transmission facilities.  Detailed estimates of these costs, which include both fixed and variable components, are shown in the </w:t>
      </w:r>
      <w:proofErr w:type="spellStart"/>
      <w:r>
        <w:t>workpaper</w:t>
      </w:r>
      <w:proofErr w:type="spellEnd"/>
      <w:r>
        <w:t xml:space="preserve"> attached as </w:t>
      </w:r>
      <w:proofErr w:type="spellStart"/>
      <w:r>
        <w:t>HSPM</w:t>
      </w:r>
      <w:proofErr w:type="spellEnd"/>
      <w:r>
        <w:t xml:space="preserve"> Exhibit CR-6.</w:t>
      </w:r>
    </w:p>
    <w:p w14:paraId="169857E7" w14:textId="77777777" w:rsidR="006D430A" w:rsidRDefault="006D430A" w:rsidP="00C36FD9">
      <w:pPr>
        <w:pStyle w:val="Answer"/>
        <w:suppressLineNumbers/>
      </w:pPr>
    </w:p>
    <w:p w14:paraId="169857E8" w14:textId="77777777" w:rsidR="006D430A" w:rsidRDefault="009E794D">
      <w:pPr>
        <w:pStyle w:val="Question"/>
      </w:pPr>
      <w:r>
        <w:lastRenderedPageBreak/>
        <w:t>HOW DOES THE COMPANY INTEND TO MANAGE LONG-TERM MAJOR MAINTENANCE ASSOCIATED WITH OCAPS?</w:t>
      </w:r>
    </w:p>
    <w:p w14:paraId="169857E9" w14:textId="77777777" w:rsidR="006D430A" w:rsidRDefault="009E794D">
      <w:pPr>
        <w:pStyle w:val="Answer"/>
      </w:pPr>
      <w:r>
        <w:t>A.</w:t>
      </w:r>
      <w:r>
        <w:tab/>
        <w:t xml:space="preserve">Given that self-performance of major long-term maintenance is not a realistic or effective option, ESL plans to enter into an </w:t>
      </w:r>
      <w:proofErr w:type="spellStart"/>
      <w:r>
        <w:t>LTSA</w:t>
      </w:r>
      <w:proofErr w:type="spellEnd"/>
      <w:r>
        <w:t xml:space="preserve"> on behalf of </w:t>
      </w:r>
      <w:proofErr w:type="spellStart"/>
      <w:r>
        <w:t>ETI</w:t>
      </w:r>
      <w:proofErr w:type="spellEnd"/>
      <w:r>
        <w:t xml:space="preserve"> for maintenance of OCAPS with MPA, the original equipment manufacturer (“OEM”).  The </w:t>
      </w:r>
      <w:proofErr w:type="spellStart"/>
      <w:r>
        <w:t>LTSA</w:t>
      </w:r>
      <w:proofErr w:type="spellEnd"/>
      <w:r>
        <w:t xml:space="preserve"> is expected to have a structure and scope similar to other </w:t>
      </w:r>
      <w:proofErr w:type="spellStart"/>
      <w:r>
        <w:t>LTSAs</w:t>
      </w:r>
      <w:proofErr w:type="spellEnd"/>
      <w:r>
        <w:t xml:space="preserve"> recently entered into by </w:t>
      </w:r>
      <w:proofErr w:type="spellStart"/>
      <w:r>
        <w:t>ETI</w:t>
      </w:r>
      <w:proofErr w:type="spellEnd"/>
      <w:r>
        <w:t xml:space="preserve"> and its affiliated Entergy Operating Companies, providing for a defined scope of major maintenance activities and a variable fee mechanism based on the number of starts and accumulated operational hours.  Outside of the </w:t>
      </w:r>
      <w:proofErr w:type="spellStart"/>
      <w:r>
        <w:t>LTSA</w:t>
      </w:r>
      <w:proofErr w:type="spellEnd"/>
      <w:r>
        <w:t xml:space="preserve">, the Company will manage major maintenance of the steam turbine, </w:t>
      </w:r>
      <w:proofErr w:type="spellStart"/>
      <w:r>
        <w:t>HRSGs</w:t>
      </w:r>
      <w:proofErr w:type="spellEnd"/>
      <w:r>
        <w:t xml:space="preserve">, and other balance of plant items as part of the operation and maintenance program, described above.  </w:t>
      </w:r>
    </w:p>
    <w:p w14:paraId="169857EA" w14:textId="77777777" w:rsidR="006D430A" w:rsidRDefault="006D430A">
      <w:pPr>
        <w:pStyle w:val="Answer"/>
      </w:pPr>
    </w:p>
    <w:p w14:paraId="169857EB" w14:textId="77777777" w:rsidR="006D430A" w:rsidRDefault="009E794D">
      <w:pPr>
        <w:pStyle w:val="Question"/>
      </w:pPr>
      <w:r>
        <w:t xml:space="preserve">WHEN DO YOU EXPECT TO FINALIZE THE </w:t>
      </w:r>
      <w:proofErr w:type="spellStart"/>
      <w:r>
        <w:t>LTSA</w:t>
      </w:r>
      <w:proofErr w:type="spellEnd"/>
      <w:r>
        <w:t>?</w:t>
      </w:r>
    </w:p>
    <w:p w14:paraId="169857EC" w14:textId="77777777" w:rsidR="006D430A" w:rsidRDefault="009E794D">
      <w:pPr>
        <w:pStyle w:val="Answer"/>
      </w:pPr>
      <w:r>
        <w:t>A.</w:t>
      </w:r>
      <w:r>
        <w:tab/>
        <w:t xml:space="preserve">I expect the </w:t>
      </w:r>
      <w:proofErr w:type="spellStart"/>
      <w:r>
        <w:t>LTSA</w:t>
      </w:r>
      <w:proofErr w:type="spellEnd"/>
      <w:r>
        <w:t xml:space="preserve"> to be finalized by the issuance of Full Notice to Proceed to the </w:t>
      </w:r>
      <w:proofErr w:type="spellStart"/>
      <w:r>
        <w:t>EPC</w:t>
      </w:r>
      <w:proofErr w:type="spellEnd"/>
      <w:r>
        <w:t xml:space="preserve"> Consortium (currently scheduled for the fourth quarter of 2021).  I would note that the Company will not incur any costs under the </w:t>
      </w:r>
      <w:proofErr w:type="spellStart"/>
      <w:r>
        <w:t>LTSA</w:t>
      </w:r>
      <w:proofErr w:type="spellEnd"/>
      <w:r>
        <w:t xml:space="preserve"> until OCAPS enters commercial operation, which is expected in or before May 2026. </w:t>
      </w:r>
    </w:p>
    <w:p w14:paraId="169857ED" w14:textId="77777777" w:rsidR="006D430A" w:rsidRDefault="006D430A">
      <w:pPr>
        <w:pStyle w:val="Answer"/>
      </w:pPr>
    </w:p>
    <w:p w14:paraId="169857EE" w14:textId="77777777" w:rsidR="006D430A" w:rsidRDefault="009E794D">
      <w:pPr>
        <w:pStyle w:val="Question"/>
      </w:pPr>
      <w:r>
        <w:rPr>
          <w:rFonts w:ascii="Times New (W1)" w:hAnsi="Times New (W1)"/>
        </w:rPr>
        <w:t>PLEASE</w:t>
      </w:r>
      <w:r>
        <w:t xml:space="preserve"> DESCRIBE THE EXPECTED SCOPE AND PRICING STRUCTURE OF THE </w:t>
      </w:r>
      <w:proofErr w:type="spellStart"/>
      <w:r>
        <w:t>LTSA</w:t>
      </w:r>
      <w:proofErr w:type="spellEnd"/>
      <w:r>
        <w:t>.</w:t>
      </w:r>
    </w:p>
    <w:p w14:paraId="169857EF" w14:textId="77777777" w:rsidR="006D430A" w:rsidRDefault="009E794D">
      <w:pPr>
        <w:pStyle w:val="Answer"/>
      </w:pPr>
      <w:r>
        <w:t>A.</w:t>
      </w:r>
      <w:r>
        <w:tab/>
        <w:t xml:space="preserve">The </w:t>
      </w:r>
      <w:proofErr w:type="spellStart"/>
      <w:r>
        <w:t>LTSA</w:t>
      </w:r>
      <w:proofErr w:type="spellEnd"/>
      <w:r>
        <w:t xml:space="preserve"> will have a well-defined scope of work for major maintenance activities of OCAPS.  It is also expected that the </w:t>
      </w:r>
      <w:proofErr w:type="spellStart"/>
      <w:r>
        <w:t>LTSA</w:t>
      </w:r>
      <w:proofErr w:type="spellEnd"/>
      <w:r>
        <w:t xml:space="preserve"> will specify a variable payment for such services, which would be determined based on a combination of the number of starts </w:t>
      </w:r>
      <w:r>
        <w:lastRenderedPageBreak/>
        <w:t xml:space="preserve">and the operating hours of the facility.  The </w:t>
      </w:r>
      <w:proofErr w:type="spellStart"/>
      <w:r>
        <w:t>LTSA</w:t>
      </w:r>
      <w:proofErr w:type="spellEnd"/>
      <w:r>
        <w:t xml:space="preserve"> may identify other work that the Company may request the OEM to perform, </w:t>
      </w:r>
      <w:r>
        <w:rPr>
          <w:i/>
        </w:rPr>
        <w:t>e.g.</w:t>
      </w:r>
      <w:r>
        <w:t>, for extra work or unplanned maintenance above a cap, but the fees for any such work would be negotiated and agreed to in a separate work order.</w:t>
      </w:r>
    </w:p>
    <w:p w14:paraId="169857F0" w14:textId="77777777" w:rsidR="006D430A" w:rsidRDefault="006D430A">
      <w:pPr>
        <w:pStyle w:val="Answer"/>
      </w:pPr>
    </w:p>
    <w:p w14:paraId="169857F1" w14:textId="77777777" w:rsidR="006D430A" w:rsidRDefault="009E794D">
      <w:pPr>
        <w:pStyle w:val="Question"/>
      </w:pPr>
      <w:r>
        <w:t xml:space="preserve">WHAT IS THE ESTIMATED COST OF THE </w:t>
      </w:r>
      <w:proofErr w:type="spellStart"/>
      <w:r>
        <w:t>LTSA</w:t>
      </w:r>
      <w:proofErr w:type="spellEnd"/>
      <w:r>
        <w:t>?</w:t>
      </w:r>
    </w:p>
    <w:p w14:paraId="169857F2" w14:textId="77777777" w:rsidR="006D430A" w:rsidRDefault="009E794D">
      <w:pPr>
        <w:pStyle w:val="Answer"/>
      </w:pPr>
      <w:r>
        <w:t>A.</w:t>
      </w:r>
      <w:r>
        <w:tab/>
        <w:t xml:space="preserve">As indicated, the </w:t>
      </w:r>
      <w:proofErr w:type="spellStart"/>
      <w:r>
        <w:t>LTSA</w:t>
      </w:r>
      <w:proofErr w:type="spellEnd"/>
      <w:r>
        <w:t xml:space="preserve"> and the pricing terms are not known.  However, for planning purposes only, ESL estimates that </w:t>
      </w:r>
      <w:proofErr w:type="spellStart"/>
      <w:r>
        <w:t>LTSA</w:t>
      </w:r>
      <w:proofErr w:type="spellEnd"/>
      <w:r>
        <w:t xml:space="preserve"> costs for major maintenance work scope will average $11 million per year without escalation based largely upon ESL’s experience in developing the </w:t>
      </w:r>
      <w:proofErr w:type="spellStart"/>
      <w:r>
        <w:t>LTSA</w:t>
      </w:r>
      <w:proofErr w:type="spellEnd"/>
      <w:r>
        <w:t xml:space="preserve"> for </w:t>
      </w:r>
      <w:proofErr w:type="spellStart"/>
      <w:r>
        <w:t>MCPS</w:t>
      </w:r>
      <w:proofErr w:type="spellEnd"/>
      <w:r>
        <w:t xml:space="preserve">.  If the </w:t>
      </w:r>
      <w:proofErr w:type="spellStart"/>
      <w:r>
        <w:t>LTSA</w:t>
      </w:r>
      <w:proofErr w:type="spellEnd"/>
      <w:r>
        <w:t xml:space="preserve"> were to remain in effect for the full contract term, the expected term cost (in nominal dollars) for the OCAPS would be approximately $128 million, without escalation.  </w:t>
      </w:r>
    </w:p>
    <w:p w14:paraId="169857F3" w14:textId="77777777" w:rsidR="006D430A" w:rsidRDefault="006D430A">
      <w:pPr>
        <w:pStyle w:val="Answer"/>
      </w:pPr>
    </w:p>
    <w:p w14:paraId="169857F4" w14:textId="77777777" w:rsidR="006D430A" w:rsidRDefault="009E794D">
      <w:pPr>
        <w:pStyle w:val="Question"/>
      </w:pPr>
      <w:r>
        <w:t xml:space="preserve">ARE THE ESTIMATED VARIABLE </w:t>
      </w:r>
      <w:proofErr w:type="spellStart"/>
      <w:r>
        <w:t>LTSA</w:t>
      </w:r>
      <w:proofErr w:type="spellEnd"/>
      <w:r>
        <w:t xml:space="preserve"> COSTS INCLUDED IN THE FIXED </w:t>
      </w:r>
      <w:proofErr w:type="spellStart"/>
      <w:r>
        <w:t>O&amp;M</w:t>
      </w:r>
      <w:proofErr w:type="spellEnd"/>
      <w:r>
        <w:t xml:space="preserve"> COST ESTIMATE YOU DESCRIBED EARLIER?</w:t>
      </w:r>
    </w:p>
    <w:p w14:paraId="169857F5" w14:textId="77777777" w:rsidR="006D430A" w:rsidRDefault="009E794D">
      <w:pPr>
        <w:pStyle w:val="Answer"/>
      </w:pPr>
      <w:r>
        <w:t>A.</w:t>
      </w:r>
      <w:r>
        <w:tab/>
        <w:t xml:space="preserve">No.  The expected costs for major maintenance under the MPA </w:t>
      </w:r>
      <w:proofErr w:type="spellStart"/>
      <w:r>
        <w:t>LTSA</w:t>
      </w:r>
      <w:proofErr w:type="spellEnd"/>
      <w:r>
        <w:t xml:space="preserve">, </w:t>
      </w:r>
      <w:r>
        <w:rPr>
          <w:i/>
        </w:rPr>
        <w:t>i.e.</w:t>
      </w:r>
      <w:r>
        <w:t xml:space="preserve">, fees that will vary depending on production from the unit, are not included in the fixed </w:t>
      </w:r>
      <w:proofErr w:type="spellStart"/>
      <w:r>
        <w:t>O&amp;M</w:t>
      </w:r>
      <w:proofErr w:type="spellEnd"/>
      <w:r>
        <w:t xml:space="preserve"> cost estimate.  But, it is possible the executed </w:t>
      </w:r>
      <w:proofErr w:type="spellStart"/>
      <w:r>
        <w:t>LTSA</w:t>
      </w:r>
      <w:proofErr w:type="spellEnd"/>
      <w:r>
        <w:t xml:space="preserve"> could have a small fixed cost component for major maintenance work scope, in which case the fixed cost component would be added to the fixed </w:t>
      </w:r>
      <w:proofErr w:type="spellStart"/>
      <w:r>
        <w:t>O&amp;M</w:t>
      </w:r>
      <w:proofErr w:type="spellEnd"/>
      <w:r>
        <w:t xml:space="preserve"> estimate.</w:t>
      </w:r>
    </w:p>
    <w:p w14:paraId="169857F6" w14:textId="77777777" w:rsidR="006D430A" w:rsidRDefault="006D430A" w:rsidP="00C36FD9">
      <w:pPr>
        <w:pStyle w:val="Answer"/>
        <w:suppressLineNumbers/>
      </w:pPr>
    </w:p>
    <w:p w14:paraId="169857F7" w14:textId="77777777" w:rsidR="006D430A" w:rsidRDefault="009E794D">
      <w:pPr>
        <w:pStyle w:val="Heading1"/>
      </w:pPr>
      <w:bookmarkStart w:id="44" w:name="_Toc463456498"/>
      <w:bookmarkStart w:id="45" w:name="_Toc65862123"/>
      <w:bookmarkStart w:id="46" w:name="_Toc82444605"/>
      <w:r>
        <w:lastRenderedPageBreak/>
        <w:t>Project Management and Contracting Approach</w:t>
      </w:r>
      <w:bookmarkEnd w:id="44"/>
      <w:bookmarkEnd w:id="45"/>
      <w:bookmarkEnd w:id="46"/>
    </w:p>
    <w:p w14:paraId="169857F8" w14:textId="77777777" w:rsidR="006D430A" w:rsidRDefault="009E794D">
      <w:pPr>
        <w:pStyle w:val="Question"/>
      </w:pPr>
      <w:r>
        <w:t>HOW DOES THE COMPANY PROPOSE TO MANAGE THE OCAPS PROJECT?</w:t>
      </w:r>
    </w:p>
    <w:p w14:paraId="169857F9" w14:textId="77777777" w:rsidR="006D430A" w:rsidRDefault="009E794D">
      <w:pPr>
        <w:pStyle w:val="Answer"/>
      </w:pPr>
      <w:r>
        <w:t>A.</w:t>
      </w:r>
      <w:r>
        <w:tab/>
        <w:t xml:space="preserve">Given the magnitude of this Project and the Company’s existing infrastructure for construction and project management, </w:t>
      </w:r>
      <w:proofErr w:type="spellStart"/>
      <w:r>
        <w:t>ETI</w:t>
      </w:r>
      <w:proofErr w:type="spellEnd"/>
      <w:r>
        <w:t xml:space="preserve"> determined that it would be appropriate to use an </w:t>
      </w:r>
      <w:proofErr w:type="spellStart"/>
      <w:r>
        <w:t>EPC</w:t>
      </w:r>
      <w:proofErr w:type="spellEnd"/>
      <w:r>
        <w:t xml:space="preserve"> contractor in conjunction with the Company’s management team.   </w:t>
      </w:r>
    </w:p>
    <w:p w14:paraId="169857FA" w14:textId="77777777" w:rsidR="006D430A" w:rsidRDefault="009E794D">
      <w:pPr>
        <w:pStyle w:val="Answer2"/>
      </w:pPr>
      <w:r>
        <w:t>The project management approach will follow Entergy’s Project Delivery System (“</w:t>
      </w:r>
      <w:proofErr w:type="spellStart"/>
      <w:r>
        <w:t>PDS</w:t>
      </w:r>
      <w:proofErr w:type="spellEnd"/>
      <w:r>
        <w:t xml:space="preserve">”) Policy, Standards and Guidelines in support of driving consistency and certainty in project delivery outcomes.  The </w:t>
      </w:r>
      <w:proofErr w:type="spellStart"/>
      <w:r>
        <w:t>PDS</w:t>
      </w:r>
      <w:proofErr w:type="spellEnd"/>
      <w:r>
        <w:t xml:space="preserve"> provides a framework to ensure Entergy’s business units consistently and effectively develop and implement capital Projects.  The </w:t>
      </w:r>
      <w:proofErr w:type="spellStart"/>
      <w:r>
        <w:t>PDS</w:t>
      </w:r>
      <w:proofErr w:type="spellEnd"/>
      <w:r>
        <w:t xml:space="preserve"> establishes a Stage Gate Process (“</w:t>
      </w:r>
      <w:proofErr w:type="spellStart"/>
      <w:r>
        <w:t>SGP</w:t>
      </w:r>
      <w:proofErr w:type="spellEnd"/>
      <w:r>
        <w:t xml:space="preserve">”) approach as a single and comprehensive framework for project development, planning, and execution.  The </w:t>
      </w:r>
      <w:proofErr w:type="spellStart"/>
      <w:r>
        <w:t>SGP</w:t>
      </w:r>
      <w:proofErr w:type="spellEnd"/>
      <w:r>
        <w:t xml:space="preserve"> provides a roadmap of key deliverables and decisions that need to be sequentially completed to promote consistent, reliable, and high-quality project outcomes.  Additionally, the </w:t>
      </w:r>
      <w:proofErr w:type="spellStart"/>
      <w:r>
        <w:t>SGP</w:t>
      </w:r>
      <w:proofErr w:type="spellEnd"/>
      <w:r>
        <w:t xml:space="preserve"> also prescribes a continuous systematic evaluation of the project organization, scope, and maturity of project management deliverables that helps ensure projects are successfully executed.  This occurs through a series of independent Gate Reviews/Assessment and Approvals. </w:t>
      </w:r>
    </w:p>
    <w:p w14:paraId="169857FB" w14:textId="77777777" w:rsidR="006D430A" w:rsidRDefault="006D430A">
      <w:pPr>
        <w:pStyle w:val="Answer"/>
      </w:pPr>
    </w:p>
    <w:p w14:paraId="169857FC" w14:textId="77777777" w:rsidR="006D430A" w:rsidRDefault="009E794D">
      <w:pPr>
        <w:pStyle w:val="Question"/>
      </w:pPr>
      <w:r>
        <w:t xml:space="preserve">WHY USE AN </w:t>
      </w:r>
      <w:proofErr w:type="spellStart"/>
      <w:r>
        <w:t>EPC</w:t>
      </w:r>
      <w:proofErr w:type="spellEnd"/>
      <w:r>
        <w:t xml:space="preserve"> CONTRACTOR IN THE FIRST INSTANCE?</w:t>
      </w:r>
    </w:p>
    <w:p w14:paraId="169857FD" w14:textId="77777777" w:rsidR="006D430A" w:rsidRDefault="009E794D">
      <w:pPr>
        <w:pStyle w:val="Answer"/>
      </w:pPr>
      <w:r>
        <w:t>A.</w:t>
      </w:r>
      <w:r>
        <w:tab/>
        <w:t xml:space="preserve">A large construction project like OCAPS is a substantial undertaking, and the Company does not have the in-house capability necessary to execute the engineering, procurement, and construction for such a project.  The use of an </w:t>
      </w:r>
      <w:proofErr w:type="spellStart"/>
      <w:r>
        <w:t>EPC</w:t>
      </w:r>
      <w:proofErr w:type="spellEnd"/>
      <w:r>
        <w:t xml:space="preserve"> contractor that </w:t>
      </w:r>
      <w:r>
        <w:lastRenderedPageBreak/>
        <w:t>can perform all of these functions under a single contract is cost effective and common within the power industry for such projects.</w:t>
      </w:r>
    </w:p>
    <w:p w14:paraId="169857FE" w14:textId="77777777" w:rsidR="006D430A" w:rsidRDefault="009E794D">
      <w:pPr>
        <w:pStyle w:val="Answer"/>
        <w:rPr>
          <w:b/>
        </w:rPr>
      </w:pPr>
      <w:r>
        <w:t xml:space="preserve">  </w:t>
      </w:r>
    </w:p>
    <w:p w14:paraId="169857FF" w14:textId="77777777" w:rsidR="006D430A" w:rsidRDefault="009E794D">
      <w:pPr>
        <w:pStyle w:val="Question"/>
      </w:pPr>
      <w:r>
        <w:t xml:space="preserve">IS THERE A SINGLE COMMON FORM OF </w:t>
      </w:r>
      <w:proofErr w:type="spellStart"/>
      <w:r>
        <w:t>EPC</w:t>
      </w:r>
      <w:proofErr w:type="spellEnd"/>
      <w:r>
        <w:t xml:space="preserve"> CONTRACT?</w:t>
      </w:r>
    </w:p>
    <w:p w14:paraId="16985800" w14:textId="77777777" w:rsidR="006D430A" w:rsidRDefault="009E794D">
      <w:pPr>
        <w:pStyle w:val="Answer"/>
      </w:pPr>
      <w:r>
        <w:t>A.</w:t>
      </w:r>
      <w:r>
        <w:tab/>
        <w:t xml:space="preserve">No.  There are several types of </w:t>
      </w:r>
      <w:proofErr w:type="spellStart"/>
      <w:r>
        <w:t>EPC</w:t>
      </w:r>
      <w:proofErr w:type="spellEnd"/>
      <w:r>
        <w:t xml:space="preserve"> contracting approaches, and the suitability or desirability of each depends largely on the type of project.  From an owner’s perspective, fixed-price contracts are preferred because of the certainty they provide to a project’s overall cost.  When a project’s scope is uncertain and likely to vary, however, </w:t>
      </w:r>
      <w:proofErr w:type="spellStart"/>
      <w:r>
        <w:t>EPC</w:t>
      </w:r>
      <w:proofErr w:type="spellEnd"/>
      <w:r>
        <w:t xml:space="preserve"> providers will either refuse to contract on a fixed price basis or perhaps agree to do so in exchange for a significant risk premium added to the fixed price.  By contrast, when a project entails a well-defined scope of work and presents an acceptable risk of material changes in scope, </w:t>
      </w:r>
      <w:proofErr w:type="spellStart"/>
      <w:r>
        <w:t>EPC</w:t>
      </w:r>
      <w:proofErr w:type="spellEnd"/>
      <w:r>
        <w:t xml:space="preserve"> providers are more willing to contract on a fixed price basis without charging a significant risk premium.</w:t>
      </w:r>
    </w:p>
    <w:p w14:paraId="16985801" w14:textId="77777777" w:rsidR="006D430A" w:rsidRDefault="006D430A">
      <w:pPr>
        <w:pStyle w:val="Answer"/>
      </w:pPr>
    </w:p>
    <w:p w14:paraId="16985802" w14:textId="77777777" w:rsidR="006D430A" w:rsidRDefault="009E794D">
      <w:pPr>
        <w:pStyle w:val="Question"/>
      </w:pPr>
      <w:r>
        <w:t xml:space="preserve">WHAT </w:t>
      </w:r>
      <w:proofErr w:type="spellStart"/>
      <w:r>
        <w:t>EPC</w:t>
      </w:r>
      <w:proofErr w:type="spellEnd"/>
      <w:r>
        <w:t xml:space="preserve"> CONTRACTING STRATEGY WILL BE UTILIZED?</w:t>
      </w:r>
    </w:p>
    <w:p w14:paraId="16985803" w14:textId="77777777" w:rsidR="006D430A" w:rsidRDefault="009E794D">
      <w:pPr>
        <w:pStyle w:val="Answer"/>
      </w:pPr>
      <w:r>
        <w:t>A.</w:t>
      </w:r>
      <w:r>
        <w:tab/>
        <w:t xml:space="preserve">The Company was able to negotiate a fixed-price (with certain exceptions), fixed-schedule form of contract with the </w:t>
      </w:r>
      <w:proofErr w:type="spellStart"/>
      <w:r>
        <w:t>EPC</w:t>
      </w:r>
      <w:proofErr w:type="spellEnd"/>
      <w:r>
        <w:t xml:space="preserve"> Consortium that reflects a detailed scope of work.  If the </w:t>
      </w:r>
      <w:proofErr w:type="spellStart"/>
      <w:r>
        <w:t>LNTP</w:t>
      </w:r>
      <w:proofErr w:type="spellEnd"/>
      <w:r>
        <w:t xml:space="preserve"> is issued after October 1, 2022, escalation will apply pursuant to well-defined terms in the </w:t>
      </w:r>
      <w:proofErr w:type="spellStart"/>
      <w:r>
        <w:t>EPC</w:t>
      </w:r>
      <w:proofErr w:type="spellEnd"/>
      <w:r>
        <w:t xml:space="preserve"> agreement, which I discuss later in my testimony.  The contractor must complete construction within 42 months (2 months ahead of the planned in-service date) of receiving </w:t>
      </w:r>
      <w:proofErr w:type="spellStart"/>
      <w:r>
        <w:t>LNTP</w:t>
      </w:r>
      <w:proofErr w:type="spellEnd"/>
      <w:r>
        <w:t xml:space="preserve"> or else pay daily liquidated damages as defined in the agreement.  The contractor also has the opportunity to earn incentives if the Project is completed before the required date.</w:t>
      </w:r>
    </w:p>
    <w:p w14:paraId="16985805" w14:textId="77777777" w:rsidR="006D430A" w:rsidRDefault="009E794D">
      <w:pPr>
        <w:pStyle w:val="Question"/>
      </w:pPr>
      <w:r>
        <w:lastRenderedPageBreak/>
        <w:t xml:space="preserve">WHY DID THE COMPANY ELECT TO USE THIS FORM OF </w:t>
      </w:r>
      <w:proofErr w:type="spellStart"/>
      <w:r>
        <w:t>EPC</w:t>
      </w:r>
      <w:proofErr w:type="spellEnd"/>
      <w:r>
        <w:t xml:space="preserve"> CONTRACT?</w:t>
      </w:r>
    </w:p>
    <w:p w14:paraId="16985806" w14:textId="77777777" w:rsidR="006D430A" w:rsidRDefault="009E794D">
      <w:pPr>
        <w:pStyle w:val="Answer"/>
      </w:pPr>
      <w:r>
        <w:t>A.</w:t>
      </w:r>
      <w:r>
        <w:tab/>
        <w:t xml:space="preserve">The </w:t>
      </w:r>
      <w:proofErr w:type="spellStart"/>
      <w:r>
        <w:t>EPC</w:t>
      </w:r>
      <w:proofErr w:type="spellEnd"/>
      <w:r>
        <w:t xml:space="preserve"> strategy used by the Company is expected to yield the lowest reasonable cost with an adequate level of risk mitigation when the project site can accommodate a standard combined-cycle design and there is a minimal amount of retrofit into an existing site.  The Company, working with the </w:t>
      </w:r>
      <w:proofErr w:type="spellStart"/>
      <w:r>
        <w:t>EPC</w:t>
      </w:r>
      <w:proofErr w:type="spellEnd"/>
      <w:r>
        <w:t xml:space="preserve"> Consortium, was able to develop a site plan that would accommodate a standard combined-cycle design and minimize the retrofit scope.  OCAPS readily lends itself to the </w:t>
      </w:r>
      <w:proofErr w:type="spellStart"/>
      <w:r>
        <w:t>EPC</w:t>
      </w:r>
      <w:proofErr w:type="spellEnd"/>
      <w:r>
        <w:t xml:space="preserve"> agreement structure selected by the parties.</w:t>
      </w:r>
    </w:p>
    <w:p w14:paraId="16985807" w14:textId="77777777" w:rsidR="006D430A" w:rsidRDefault="006D430A">
      <w:pPr>
        <w:pStyle w:val="Answer"/>
      </w:pPr>
    </w:p>
    <w:p w14:paraId="16985808" w14:textId="77777777" w:rsidR="006D430A" w:rsidRDefault="009E794D">
      <w:pPr>
        <w:pStyle w:val="Question"/>
      </w:pPr>
      <w:r>
        <w:t xml:space="preserve">HOW WAS THE </w:t>
      </w:r>
      <w:proofErr w:type="spellStart"/>
      <w:r>
        <w:t>EPC</w:t>
      </w:r>
      <w:proofErr w:type="spellEnd"/>
      <w:r>
        <w:t xml:space="preserve"> CONTRACTOR SELECTED?</w:t>
      </w:r>
    </w:p>
    <w:p w14:paraId="16985809" w14:textId="77777777" w:rsidR="006D430A" w:rsidRDefault="009E794D">
      <w:pPr>
        <w:pStyle w:val="Answer"/>
      </w:pPr>
      <w:r>
        <w:t>A.</w:t>
      </w:r>
      <w:r>
        <w:tab/>
        <w:t xml:space="preserve">The fixed price </w:t>
      </w:r>
      <w:proofErr w:type="spellStart"/>
      <w:r>
        <w:t>EPC</w:t>
      </w:r>
      <w:proofErr w:type="spellEnd"/>
      <w:r>
        <w:t xml:space="preserve"> market has changed from the time of </w:t>
      </w:r>
      <w:proofErr w:type="spellStart"/>
      <w:r>
        <w:t>MCPS’s</w:t>
      </w:r>
      <w:proofErr w:type="spellEnd"/>
      <w:r>
        <w:t xml:space="preserve"> </w:t>
      </w:r>
      <w:proofErr w:type="spellStart"/>
      <w:r>
        <w:t>EPC</w:t>
      </w:r>
      <w:proofErr w:type="spellEnd"/>
      <w:r>
        <w:t xml:space="preserve"> contract execution to today, as some major contractors no longer build power plants and/or support fixed price execution strategies.  A consortium was selected as the </w:t>
      </w:r>
      <w:proofErr w:type="spellStart"/>
      <w:r>
        <w:t>EPC</w:t>
      </w:r>
      <w:proofErr w:type="spellEnd"/>
      <w:r>
        <w:t xml:space="preserve"> contractor to give </w:t>
      </w:r>
      <w:proofErr w:type="spellStart"/>
      <w:r>
        <w:t>ETI</w:t>
      </w:r>
      <w:proofErr w:type="spellEnd"/>
      <w:r>
        <w:t xml:space="preserve"> the opportunity to reduce project risks and improve power plant efficiency.  Some of the mitigated risks are lower risk counter party default (joint and several three way), engineering design experience of multiple entities, and stronger constructability capabilities.  </w:t>
      </w:r>
    </w:p>
    <w:p w14:paraId="1698580A" w14:textId="77777777" w:rsidR="006D430A" w:rsidRDefault="009E794D">
      <w:pPr>
        <w:pStyle w:val="Answer2"/>
      </w:pPr>
      <w:r>
        <w:t xml:space="preserve">Project organization was based on the strengths of each partner, creating a stronger </w:t>
      </w:r>
      <w:proofErr w:type="spellStart"/>
      <w:r>
        <w:t>EPC</w:t>
      </w:r>
      <w:proofErr w:type="spellEnd"/>
      <w:r>
        <w:t xml:space="preserve"> execution team capitalizing on mutually established partnering rules and longstanding trust combined with the financial stability, strengths, experience, and relationships of each organization. </w:t>
      </w:r>
    </w:p>
    <w:p w14:paraId="1698580B" w14:textId="77777777" w:rsidR="006D430A" w:rsidRDefault="009E794D">
      <w:pPr>
        <w:numPr>
          <w:ilvl w:val="0"/>
          <w:numId w:val="24"/>
        </w:numPr>
        <w:spacing w:line="240" w:lineRule="auto"/>
        <w:ind w:left="1080"/>
        <w:contextualSpacing/>
        <w:jc w:val="both"/>
        <w:rPr>
          <w:szCs w:val="24"/>
        </w:rPr>
      </w:pPr>
      <w:r>
        <w:rPr>
          <w:szCs w:val="24"/>
        </w:rPr>
        <w:t xml:space="preserve">Sargent &amp; Lundy, </w:t>
      </w:r>
      <w:proofErr w:type="spellStart"/>
      <w:r>
        <w:rPr>
          <w:szCs w:val="24"/>
        </w:rPr>
        <w:t>L.L.C</w:t>
      </w:r>
      <w:proofErr w:type="spellEnd"/>
      <w:r>
        <w:rPr>
          <w:szCs w:val="24"/>
        </w:rPr>
        <w:t xml:space="preserve">. (engineering/procurement) </w:t>
      </w:r>
    </w:p>
    <w:p w14:paraId="1698580C" w14:textId="77777777" w:rsidR="006D430A" w:rsidRDefault="009E794D">
      <w:pPr>
        <w:numPr>
          <w:ilvl w:val="0"/>
          <w:numId w:val="26"/>
        </w:numPr>
        <w:spacing w:line="240" w:lineRule="auto"/>
        <w:contextualSpacing/>
        <w:jc w:val="both"/>
        <w:rPr>
          <w:szCs w:val="24"/>
        </w:rPr>
      </w:pPr>
      <w:r>
        <w:rPr>
          <w:szCs w:val="24"/>
        </w:rPr>
        <w:t xml:space="preserve">Extensive history with Entergy as Owner’s Engineer. </w:t>
      </w:r>
    </w:p>
    <w:p w14:paraId="1698580D" w14:textId="77777777" w:rsidR="006D430A" w:rsidRDefault="009E794D">
      <w:pPr>
        <w:numPr>
          <w:ilvl w:val="0"/>
          <w:numId w:val="26"/>
        </w:numPr>
        <w:spacing w:line="240" w:lineRule="auto"/>
        <w:contextualSpacing/>
        <w:jc w:val="both"/>
        <w:rPr>
          <w:szCs w:val="24"/>
        </w:rPr>
      </w:pPr>
      <w:r>
        <w:rPr>
          <w:szCs w:val="24"/>
        </w:rPr>
        <w:t xml:space="preserve">Industry leading experience in combined cycle engineering. </w:t>
      </w:r>
    </w:p>
    <w:p w14:paraId="1698580E" w14:textId="77777777" w:rsidR="006D430A" w:rsidRDefault="009E794D">
      <w:pPr>
        <w:numPr>
          <w:ilvl w:val="0"/>
          <w:numId w:val="26"/>
        </w:numPr>
        <w:spacing w:line="240" w:lineRule="auto"/>
        <w:contextualSpacing/>
        <w:jc w:val="both"/>
        <w:rPr>
          <w:szCs w:val="24"/>
        </w:rPr>
      </w:pPr>
      <w:r>
        <w:rPr>
          <w:szCs w:val="24"/>
        </w:rPr>
        <w:lastRenderedPageBreak/>
        <w:t xml:space="preserve">Strong history of successful </w:t>
      </w:r>
      <w:proofErr w:type="spellStart"/>
      <w:r>
        <w:rPr>
          <w:szCs w:val="24"/>
        </w:rPr>
        <w:t>EPC</w:t>
      </w:r>
      <w:proofErr w:type="spellEnd"/>
      <w:r>
        <w:rPr>
          <w:szCs w:val="24"/>
        </w:rPr>
        <w:t xml:space="preserve"> joint venture projects with Kiewit/TIC. </w:t>
      </w:r>
    </w:p>
    <w:p w14:paraId="1698580F" w14:textId="77777777" w:rsidR="006D430A" w:rsidRDefault="006D430A">
      <w:pPr>
        <w:spacing w:line="240" w:lineRule="auto"/>
        <w:ind w:left="720"/>
        <w:contextualSpacing/>
        <w:jc w:val="both"/>
        <w:rPr>
          <w:szCs w:val="24"/>
        </w:rPr>
      </w:pPr>
    </w:p>
    <w:p w14:paraId="16985810" w14:textId="77777777" w:rsidR="006D430A" w:rsidRDefault="009E794D">
      <w:pPr>
        <w:numPr>
          <w:ilvl w:val="0"/>
          <w:numId w:val="24"/>
        </w:numPr>
        <w:spacing w:line="240" w:lineRule="auto"/>
        <w:ind w:left="1080"/>
        <w:contextualSpacing/>
        <w:jc w:val="both"/>
        <w:rPr>
          <w:szCs w:val="24"/>
        </w:rPr>
      </w:pPr>
      <w:r>
        <w:rPr>
          <w:szCs w:val="24"/>
        </w:rPr>
        <w:t xml:space="preserve">TIC – The Industrial Company (procurement/construction) </w:t>
      </w:r>
    </w:p>
    <w:p w14:paraId="16985811" w14:textId="77777777" w:rsidR="006D430A" w:rsidRDefault="009E794D">
      <w:pPr>
        <w:numPr>
          <w:ilvl w:val="0"/>
          <w:numId w:val="26"/>
        </w:numPr>
        <w:spacing w:line="240" w:lineRule="auto"/>
        <w:contextualSpacing/>
        <w:jc w:val="both"/>
        <w:rPr>
          <w:szCs w:val="24"/>
        </w:rPr>
      </w:pPr>
      <w:r>
        <w:rPr>
          <w:szCs w:val="24"/>
        </w:rPr>
        <w:t>Ranked #1 in 2020 by Engineering News Record (“</w:t>
      </w:r>
      <w:proofErr w:type="spellStart"/>
      <w:r>
        <w:rPr>
          <w:szCs w:val="24"/>
        </w:rPr>
        <w:t>ENR</w:t>
      </w:r>
      <w:proofErr w:type="spellEnd"/>
      <w:r>
        <w:rPr>
          <w:szCs w:val="24"/>
        </w:rPr>
        <w:t xml:space="preserve">”) in Fossil Fuel Contractors and #2 in Power Industry. </w:t>
      </w:r>
    </w:p>
    <w:p w14:paraId="16985812" w14:textId="77777777" w:rsidR="006D430A" w:rsidRDefault="009E794D">
      <w:pPr>
        <w:numPr>
          <w:ilvl w:val="0"/>
          <w:numId w:val="26"/>
        </w:numPr>
        <w:spacing w:line="240" w:lineRule="auto"/>
        <w:contextualSpacing/>
        <w:jc w:val="both"/>
        <w:rPr>
          <w:szCs w:val="24"/>
        </w:rPr>
      </w:pPr>
      <w:r>
        <w:rPr>
          <w:szCs w:val="24"/>
        </w:rPr>
        <w:t>Industry leading safety record.</w:t>
      </w:r>
    </w:p>
    <w:p w14:paraId="16985813" w14:textId="77777777" w:rsidR="006D430A" w:rsidRDefault="009E794D">
      <w:pPr>
        <w:numPr>
          <w:ilvl w:val="0"/>
          <w:numId w:val="26"/>
        </w:numPr>
        <w:spacing w:line="240" w:lineRule="auto"/>
        <w:contextualSpacing/>
        <w:jc w:val="both"/>
        <w:rPr>
          <w:szCs w:val="24"/>
        </w:rPr>
      </w:pPr>
      <w:r>
        <w:rPr>
          <w:szCs w:val="24"/>
        </w:rPr>
        <w:t xml:space="preserve">Strong history of successful </w:t>
      </w:r>
      <w:proofErr w:type="spellStart"/>
      <w:r>
        <w:rPr>
          <w:szCs w:val="24"/>
        </w:rPr>
        <w:t>EPC</w:t>
      </w:r>
      <w:proofErr w:type="spellEnd"/>
      <w:r>
        <w:rPr>
          <w:szCs w:val="24"/>
        </w:rPr>
        <w:t xml:space="preserve"> joint venture projects with Sargent &amp; Lundy. </w:t>
      </w:r>
    </w:p>
    <w:p w14:paraId="16985814" w14:textId="77777777" w:rsidR="006D430A" w:rsidRDefault="009E794D">
      <w:pPr>
        <w:numPr>
          <w:ilvl w:val="0"/>
          <w:numId w:val="26"/>
        </w:numPr>
        <w:spacing w:line="240" w:lineRule="auto"/>
        <w:contextualSpacing/>
        <w:jc w:val="both"/>
        <w:rPr>
          <w:szCs w:val="24"/>
        </w:rPr>
      </w:pPr>
      <w:r>
        <w:rPr>
          <w:szCs w:val="24"/>
        </w:rPr>
        <w:t xml:space="preserve">Culture of eliminating change orders in the beginning with the end in mind. </w:t>
      </w:r>
    </w:p>
    <w:p w14:paraId="16985815" w14:textId="77777777" w:rsidR="006D430A" w:rsidRDefault="006D430A">
      <w:pPr>
        <w:spacing w:line="240" w:lineRule="auto"/>
        <w:ind w:left="720"/>
        <w:contextualSpacing/>
        <w:jc w:val="both"/>
        <w:rPr>
          <w:szCs w:val="24"/>
        </w:rPr>
      </w:pPr>
    </w:p>
    <w:p w14:paraId="16985816" w14:textId="77777777" w:rsidR="006D430A" w:rsidRDefault="009E794D">
      <w:pPr>
        <w:keepNext/>
        <w:numPr>
          <w:ilvl w:val="0"/>
          <w:numId w:val="24"/>
        </w:numPr>
        <w:spacing w:line="240" w:lineRule="auto"/>
        <w:ind w:left="1080"/>
        <w:contextualSpacing/>
        <w:jc w:val="both"/>
        <w:rPr>
          <w:szCs w:val="24"/>
        </w:rPr>
      </w:pPr>
      <w:r>
        <w:rPr>
          <w:szCs w:val="24"/>
        </w:rPr>
        <w:t xml:space="preserve">MPA (OEM of major equipment)   </w:t>
      </w:r>
    </w:p>
    <w:p w14:paraId="16985817" w14:textId="77777777" w:rsidR="006D430A" w:rsidRDefault="009E794D">
      <w:pPr>
        <w:numPr>
          <w:ilvl w:val="0"/>
          <w:numId w:val="26"/>
        </w:numPr>
        <w:spacing w:line="240" w:lineRule="auto"/>
        <w:contextualSpacing/>
        <w:jc w:val="both"/>
        <w:rPr>
          <w:szCs w:val="24"/>
        </w:rPr>
      </w:pPr>
      <w:r>
        <w:rPr>
          <w:szCs w:val="24"/>
        </w:rPr>
        <w:t xml:space="preserve">Highest output combined with the lowest heat rate in the market today. </w:t>
      </w:r>
    </w:p>
    <w:p w14:paraId="16985818" w14:textId="77777777" w:rsidR="006D430A" w:rsidRDefault="009E794D">
      <w:pPr>
        <w:numPr>
          <w:ilvl w:val="0"/>
          <w:numId w:val="26"/>
        </w:numPr>
        <w:spacing w:line="240" w:lineRule="auto"/>
        <w:contextualSpacing/>
        <w:jc w:val="both"/>
        <w:rPr>
          <w:szCs w:val="24"/>
        </w:rPr>
      </w:pPr>
      <w:r>
        <w:rPr>
          <w:szCs w:val="24"/>
        </w:rPr>
        <w:t xml:space="preserve">Proven operation and reliability. </w:t>
      </w:r>
    </w:p>
    <w:p w14:paraId="16985819" w14:textId="77777777" w:rsidR="006D430A" w:rsidRDefault="009E794D">
      <w:pPr>
        <w:numPr>
          <w:ilvl w:val="0"/>
          <w:numId w:val="26"/>
        </w:numPr>
        <w:spacing w:line="240" w:lineRule="auto"/>
        <w:contextualSpacing/>
        <w:jc w:val="both"/>
        <w:rPr>
          <w:szCs w:val="24"/>
        </w:rPr>
      </w:pPr>
      <w:r>
        <w:rPr>
          <w:szCs w:val="24"/>
        </w:rPr>
        <w:t xml:space="preserve">Number 1 market share in advanced class turbine market. </w:t>
      </w:r>
    </w:p>
    <w:p w14:paraId="1698581A" w14:textId="77777777" w:rsidR="006D430A" w:rsidRDefault="006D430A">
      <w:pPr>
        <w:pStyle w:val="Answer"/>
      </w:pPr>
    </w:p>
    <w:p w14:paraId="1698581B" w14:textId="7D208637" w:rsidR="006D430A" w:rsidRDefault="009E794D">
      <w:pPr>
        <w:pStyle w:val="Answer2"/>
        <w:ind w:firstLine="0"/>
      </w:pPr>
      <w:r>
        <w:t xml:space="preserve">It should also be noted that the decision to pursue negotiations with the </w:t>
      </w:r>
      <w:proofErr w:type="spellStart"/>
      <w:r>
        <w:t>EPC</w:t>
      </w:r>
      <w:proofErr w:type="spellEnd"/>
      <w:r>
        <w:t xml:space="preserve"> Consortium was also supported by management’s favorable assessment of the </w:t>
      </w:r>
      <w:proofErr w:type="spellStart"/>
      <w:r>
        <w:t>EPC</w:t>
      </w:r>
      <w:proofErr w:type="spellEnd"/>
      <w:r>
        <w:t xml:space="preserve"> Consortium companies’ expertise in the management of </w:t>
      </w:r>
      <w:proofErr w:type="spellStart"/>
      <w:r>
        <w:t>CCCT</w:t>
      </w:r>
      <w:proofErr w:type="spellEnd"/>
      <w:r>
        <w:t xml:space="preserve"> construction projects, and experience in the regional construction market.</w:t>
      </w:r>
    </w:p>
    <w:p w14:paraId="1698581C" w14:textId="77777777" w:rsidR="006D430A" w:rsidRDefault="006D430A">
      <w:pPr>
        <w:pStyle w:val="Answer"/>
      </w:pPr>
    </w:p>
    <w:p w14:paraId="1698581D" w14:textId="77777777" w:rsidR="006D430A" w:rsidRDefault="009E794D">
      <w:pPr>
        <w:pStyle w:val="Question"/>
      </w:pPr>
      <w:r>
        <w:t xml:space="preserve">WHAT ACTIVITIES WILL the </w:t>
      </w:r>
      <w:proofErr w:type="spellStart"/>
      <w:r>
        <w:t>EPC</w:t>
      </w:r>
      <w:proofErr w:type="spellEnd"/>
      <w:r>
        <w:t xml:space="preserve"> consortium PERFORM AS THE </w:t>
      </w:r>
      <w:proofErr w:type="spellStart"/>
      <w:r>
        <w:t>EPC</w:t>
      </w:r>
      <w:proofErr w:type="spellEnd"/>
      <w:r>
        <w:t xml:space="preserve"> CONTRACTOR?</w:t>
      </w:r>
    </w:p>
    <w:p w14:paraId="1698581E" w14:textId="628D676F" w:rsidR="006D430A" w:rsidRDefault="009E794D">
      <w:pPr>
        <w:pStyle w:val="Answer"/>
      </w:pPr>
      <w:r>
        <w:t>A.</w:t>
      </w:r>
      <w:r>
        <w:tab/>
        <w:t xml:space="preserve">Under the </w:t>
      </w:r>
      <w:proofErr w:type="spellStart"/>
      <w:r>
        <w:t>EPC</w:t>
      </w:r>
      <w:proofErr w:type="spellEnd"/>
      <w:r>
        <w:t xml:space="preserve"> contract structure, the </w:t>
      </w:r>
      <w:proofErr w:type="spellStart"/>
      <w:r>
        <w:t>EPC</w:t>
      </w:r>
      <w:proofErr w:type="spellEnd"/>
      <w:r>
        <w:t xml:space="preserve"> Consortium will act as an independent contractor with respect to the engineering, procurement, and construction services defined in the scope of work.  The </w:t>
      </w:r>
      <w:proofErr w:type="spellStart"/>
      <w:r>
        <w:t>EPC</w:t>
      </w:r>
      <w:proofErr w:type="spellEnd"/>
      <w:r>
        <w:t xml:space="preserve"> Consortium also will procure the combustion turbines, </w:t>
      </w:r>
      <w:proofErr w:type="spellStart"/>
      <w:r>
        <w:t>HRSGs</w:t>
      </w:r>
      <w:proofErr w:type="spellEnd"/>
      <w:r>
        <w:t xml:space="preserve">, and steam turbine from the OEMs.  The </w:t>
      </w:r>
      <w:proofErr w:type="spellStart"/>
      <w:r>
        <w:t>EPC</w:t>
      </w:r>
      <w:proofErr w:type="spellEnd"/>
      <w:r>
        <w:t xml:space="preserve"> Consortium will provide a “wrap” (</w:t>
      </w:r>
      <w:r>
        <w:rPr>
          <w:i/>
        </w:rPr>
        <w:t>i.e.</w:t>
      </w:r>
      <w:r>
        <w:t xml:space="preserve">, guarantee) of the commitments on schedule and performance for the entire Project, providing for risk mitigation if there are delays or performance shortfalls.  The </w:t>
      </w:r>
      <w:proofErr w:type="spellStart"/>
      <w:r>
        <w:t>EPC</w:t>
      </w:r>
      <w:proofErr w:type="spellEnd"/>
      <w:r>
        <w:t xml:space="preserve"> Consortium’s procurement of this equipment will allow it full </w:t>
      </w:r>
      <w:r>
        <w:lastRenderedPageBreak/>
        <w:t xml:space="preserve">coordination and scheduling of the OEMs in order to meet the fixed schedule provided in the agreement.  </w:t>
      </w:r>
    </w:p>
    <w:p w14:paraId="1698581F" w14:textId="77777777" w:rsidR="006D430A" w:rsidRDefault="006D430A">
      <w:pPr>
        <w:pStyle w:val="Answer"/>
      </w:pPr>
    </w:p>
    <w:p w14:paraId="16985820" w14:textId="77777777" w:rsidR="006D430A" w:rsidRDefault="009E794D">
      <w:pPr>
        <w:pStyle w:val="Question"/>
      </w:pPr>
      <w:r>
        <w:t xml:space="preserve">HAVE THE COMPANY AND the </w:t>
      </w:r>
      <w:proofErr w:type="spellStart"/>
      <w:r>
        <w:t>EPC</w:t>
      </w:r>
      <w:proofErr w:type="spellEnd"/>
      <w:r>
        <w:t xml:space="preserve"> consortium AGREED UPON THE TERMS OF AN </w:t>
      </w:r>
      <w:proofErr w:type="spellStart"/>
      <w:r>
        <w:t>EPC</w:t>
      </w:r>
      <w:proofErr w:type="spellEnd"/>
      <w:r>
        <w:t xml:space="preserve"> AGREEMENT?</w:t>
      </w:r>
    </w:p>
    <w:p w14:paraId="16985821" w14:textId="77777777" w:rsidR="006D430A" w:rsidRDefault="009E794D">
      <w:pPr>
        <w:pStyle w:val="Answer"/>
        <w:rPr>
          <w:bCs/>
          <w:kern w:val="32"/>
          <w:u w:val="single"/>
        </w:rPr>
      </w:pPr>
      <w:r>
        <w:t>A.</w:t>
      </w:r>
      <w:r>
        <w:tab/>
        <w:t xml:space="preserve">The Company is in the final stages of negotiating the contract and expects that a definitive </w:t>
      </w:r>
      <w:proofErr w:type="spellStart"/>
      <w:r>
        <w:t>EPC</w:t>
      </w:r>
      <w:proofErr w:type="spellEnd"/>
      <w:r>
        <w:t xml:space="preserve"> agreement will be executed in the near term.  However, the general terms and conditions of the </w:t>
      </w:r>
      <w:proofErr w:type="spellStart"/>
      <w:r>
        <w:t>EPC</w:t>
      </w:r>
      <w:proofErr w:type="spellEnd"/>
      <w:r>
        <w:t xml:space="preserve"> contract have been agreed upon and are summarized in </w:t>
      </w:r>
      <w:proofErr w:type="spellStart"/>
      <w:r>
        <w:t>HSPM</w:t>
      </w:r>
      <w:proofErr w:type="spellEnd"/>
      <w:r>
        <w:rPr>
          <w:i/>
        </w:rPr>
        <w:t xml:space="preserve"> </w:t>
      </w:r>
      <w:r>
        <w:t>Exhibit CR-8.</w:t>
      </w:r>
    </w:p>
    <w:p w14:paraId="16985822" w14:textId="77777777" w:rsidR="006D430A" w:rsidRDefault="006D430A">
      <w:pPr>
        <w:pStyle w:val="Answer"/>
      </w:pPr>
    </w:p>
    <w:p w14:paraId="16985823" w14:textId="77777777" w:rsidR="006D430A" w:rsidRDefault="009E794D">
      <w:pPr>
        <w:pStyle w:val="Heading1"/>
      </w:pPr>
      <w:bookmarkStart w:id="47" w:name="_Toc428171262"/>
      <w:bookmarkStart w:id="48" w:name="_Toc428171771"/>
      <w:bookmarkStart w:id="49" w:name="_Toc428209434"/>
      <w:bookmarkStart w:id="50" w:name="_Toc463456499"/>
      <w:bookmarkStart w:id="51" w:name="_Toc65862124"/>
      <w:bookmarkStart w:id="52" w:name="_Toc82444606"/>
      <w:r>
        <w:t>Construction Risk Management and Mitigation</w:t>
      </w:r>
      <w:bookmarkEnd w:id="47"/>
      <w:bookmarkEnd w:id="48"/>
      <w:bookmarkEnd w:id="49"/>
      <w:bookmarkEnd w:id="50"/>
      <w:bookmarkEnd w:id="51"/>
      <w:bookmarkEnd w:id="52"/>
    </w:p>
    <w:p w14:paraId="16985824" w14:textId="77777777" w:rsidR="006D430A" w:rsidRDefault="009E794D">
      <w:pPr>
        <w:pStyle w:val="Question"/>
      </w:pPr>
      <w:r>
        <w:t>WHY IS IT IMPORTANT TO HAVE PLANS IN PLACE TO MANAGE AND MITIGATE THE POTENTIAL RISKS ASSOCIATED WITH development of the project?</w:t>
      </w:r>
    </w:p>
    <w:p w14:paraId="16985825" w14:textId="77777777" w:rsidR="006D430A" w:rsidRDefault="009E794D">
      <w:pPr>
        <w:pStyle w:val="Answer"/>
      </w:pPr>
      <w:r>
        <w:t>A.</w:t>
      </w:r>
      <w:r>
        <w:tab/>
        <w:t xml:space="preserve">OCAPS represents a substantial capital investment, and thus it must be well managed.  Good management includes proper consideration of the risks that can be reasonably foreseen and the development of a plan to reasonably manage and mitigate those risks.  Good project management should not seek to eliminate all potential risks irrespective of costs to do so, but instead should reasonably manage those risks considering the probability of occurrence, potential magnitude of impact, and cost to mitigate.  </w:t>
      </w:r>
      <w:bookmarkStart w:id="53" w:name="_Toc463456500"/>
      <w:bookmarkEnd w:id="53"/>
    </w:p>
    <w:p w14:paraId="16985826" w14:textId="77777777" w:rsidR="006D430A" w:rsidRDefault="006D430A" w:rsidP="00C36FD9">
      <w:pPr>
        <w:pStyle w:val="Answer"/>
        <w:suppressLineNumbers/>
      </w:pPr>
    </w:p>
    <w:p w14:paraId="16985827" w14:textId="77777777" w:rsidR="006D430A" w:rsidRDefault="009E794D">
      <w:pPr>
        <w:pStyle w:val="Question"/>
      </w:pPr>
      <w:r>
        <w:lastRenderedPageBreak/>
        <w:t xml:space="preserve">HOW HAS </w:t>
      </w:r>
      <w:proofErr w:type="spellStart"/>
      <w:r>
        <w:t>eTI</w:t>
      </w:r>
      <w:proofErr w:type="spellEnd"/>
      <w:r>
        <w:t xml:space="preserve"> MITIGATED THE RISKS AFFECTING THE PROJECT’S SCHEDULE AND PROJECTED COSTS?</w:t>
      </w:r>
    </w:p>
    <w:p w14:paraId="16985828" w14:textId="77777777" w:rsidR="006D430A" w:rsidRDefault="009E794D">
      <w:pPr>
        <w:pStyle w:val="Answer"/>
      </w:pPr>
      <w:r>
        <w:t>A.</w:t>
      </w:r>
      <w:r>
        <w:tab/>
        <w:t xml:space="preserve">The fixed-price structure and well-defined scope of work of the </w:t>
      </w:r>
      <w:proofErr w:type="spellStart"/>
      <w:r>
        <w:t>EPC</w:t>
      </w:r>
      <w:proofErr w:type="spellEnd"/>
      <w:r>
        <w:t xml:space="preserve"> Contract are the principal mitigation tools to minimize the effect that risks may have on project costs.  The Company developed mitigation plans and included a contingency in the project cost estimate that is reasonably sufficient to mitigate those risks identified.  Delays in receiving regulatory approvals or the required permits beyond the dates assumed in the project schedule will increase total costs and result in a delayed in-service date.  The project schedule has been developed by optimizing the sequence of activities to produce the shortest practical schedule at the lowest reasonable cost.  The schedule has a built-in contingency for critical path activities that will help mitigate short delays. </w:t>
      </w:r>
    </w:p>
    <w:p w14:paraId="16985829" w14:textId="77777777" w:rsidR="006D430A" w:rsidRDefault="006D430A">
      <w:pPr>
        <w:pStyle w:val="Answer"/>
      </w:pPr>
    </w:p>
    <w:p w14:paraId="1698582A" w14:textId="77777777" w:rsidR="006D430A" w:rsidRDefault="009E794D">
      <w:pPr>
        <w:pStyle w:val="Question"/>
      </w:pPr>
      <w:r>
        <w:t>IS THE CONTINGENCY REFLECTED IN THE PROJECT COST ESTIMATE DESIGNED TO COVER ALL RISKS THAT COULD INCREASE COST?</w:t>
      </w:r>
    </w:p>
    <w:p w14:paraId="1698582B" w14:textId="77777777" w:rsidR="006D430A" w:rsidRDefault="009E794D">
      <w:pPr>
        <w:pStyle w:val="Answer"/>
      </w:pPr>
      <w:r>
        <w:t>A.</w:t>
      </w:r>
      <w:r>
        <w:tab/>
        <w:t>No, that is not the purpose of contingency funds in project management.  Contingency is used to reasonably mitigate unplanned increases in project cost, whether caused by known risks or unforeseen risks.  It recognizes that large construction projects that span several years can be adversely affected by events beyond the utility’s control.  ESL used a Monte Carlo simulation to determine the level of contingency that would provide a reasonable level of mitigation of known and unknown risks, but it is possible that some of these risks, if realized, could cause cost increases beyond the contingency included in the cost estimate.  The Company does not retain any unused project contingency.</w:t>
      </w:r>
    </w:p>
    <w:p w14:paraId="1698582D" w14:textId="77777777" w:rsidR="006D430A" w:rsidRDefault="009E794D">
      <w:pPr>
        <w:pStyle w:val="Question"/>
      </w:pPr>
      <w:r>
        <w:lastRenderedPageBreak/>
        <w:t xml:space="preserve">please DISCUSS SOME OF THE POTENTIAL RISK MITIGATIONS EXPECTED TO BE CONTAINED IN THE </w:t>
      </w:r>
      <w:proofErr w:type="spellStart"/>
      <w:r>
        <w:t>EPC</w:t>
      </w:r>
      <w:proofErr w:type="spellEnd"/>
      <w:r>
        <w:t xml:space="preserve"> CONTRACT.</w:t>
      </w:r>
    </w:p>
    <w:p w14:paraId="1698582E" w14:textId="0B54A7A0" w:rsidR="006D430A" w:rsidRDefault="009E794D">
      <w:pPr>
        <w:pStyle w:val="Answer"/>
      </w:pPr>
      <w:r>
        <w:t>A.</w:t>
      </w:r>
      <w:r>
        <w:tab/>
        <w:t xml:space="preserve">While the </w:t>
      </w:r>
      <w:proofErr w:type="spellStart"/>
      <w:r>
        <w:t>EPC</w:t>
      </w:r>
      <w:proofErr w:type="spellEnd"/>
      <w:r>
        <w:t xml:space="preserve"> contract with the </w:t>
      </w:r>
      <w:proofErr w:type="spellStart"/>
      <w:r>
        <w:t>EPC</w:t>
      </w:r>
      <w:proofErr w:type="spellEnd"/>
      <w:r>
        <w:t xml:space="preserve"> Consortium is not yet executed, the agreed-upon general terms and conditions reflected in </w:t>
      </w:r>
      <w:proofErr w:type="spellStart"/>
      <w:r>
        <w:t>HSPM</w:t>
      </w:r>
      <w:proofErr w:type="spellEnd"/>
      <w:r>
        <w:t xml:space="preserve"> Exhibit CR-8 provides for a fixed price and fixed schedule.  Any fixed-price contract presents a risk of price increases through change orders and extra work claims.  This risk has been mitigated to the extent possible by broadly defining the scope of work assigned to the </w:t>
      </w:r>
      <w:proofErr w:type="spellStart"/>
      <w:r>
        <w:t>EPC</w:t>
      </w:r>
      <w:proofErr w:type="spellEnd"/>
      <w:r>
        <w:t xml:space="preserve"> Consortium as including everything necessary to complete the Project that meets the specification and performance requirements, except for items expressly stated in the scope document to be </w:t>
      </w:r>
      <w:proofErr w:type="spellStart"/>
      <w:r>
        <w:t>ETI’s</w:t>
      </w:r>
      <w:proofErr w:type="spellEnd"/>
      <w:r>
        <w:t xml:space="preserve"> responsibility.  The agreed-upon </w:t>
      </w:r>
      <w:proofErr w:type="spellStart"/>
      <w:r>
        <w:t>EPC</w:t>
      </w:r>
      <w:proofErr w:type="spellEnd"/>
      <w:r>
        <w:t xml:space="preserve"> contract terms also contain favorable change order provisions that will enable the Company to direct the </w:t>
      </w:r>
      <w:proofErr w:type="spellStart"/>
      <w:r>
        <w:t>EPC</w:t>
      </w:r>
      <w:proofErr w:type="spellEnd"/>
      <w:r>
        <w:t xml:space="preserve"> Consortium to proceed with a change over which there is a good faith dispute between the parties, with the dispute over the price impact to be resolved in arrears.  This will protect </w:t>
      </w:r>
      <w:proofErr w:type="spellStart"/>
      <w:r>
        <w:t>ETI</w:t>
      </w:r>
      <w:proofErr w:type="spellEnd"/>
      <w:r>
        <w:t xml:space="preserve"> and its customers from the possibility that the </w:t>
      </w:r>
      <w:proofErr w:type="spellStart"/>
      <w:r>
        <w:t>EPC</w:t>
      </w:r>
      <w:proofErr w:type="spellEnd"/>
      <w:r>
        <w:t xml:space="preserve"> contractor would threaten to delay work until change order disputes are resolved to its satisfaction.  Further, the </w:t>
      </w:r>
      <w:proofErr w:type="spellStart"/>
      <w:r>
        <w:t>EPC</w:t>
      </w:r>
      <w:proofErr w:type="spellEnd"/>
      <w:r>
        <w:t xml:space="preserve"> Consortium must notify </w:t>
      </w:r>
      <w:proofErr w:type="spellStart"/>
      <w:r>
        <w:t>ETI</w:t>
      </w:r>
      <w:proofErr w:type="spellEnd"/>
      <w:r>
        <w:t xml:space="preserve"> before making any changes required by force majeure events or changes in laws, and must document such changes and the resulting impacts before being entitled to any schedule relief, increase in the fixed price, or additional reimbursement.</w:t>
      </w:r>
    </w:p>
    <w:p w14:paraId="1698582F" w14:textId="5CF6F082" w:rsidR="006D430A" w:rsidRDefault="009E794D">
      <w:pPr>
        <w:pStyle w:val="Answer2"/>
      </w:pPr>
      <w:r>
        <w:t xml:space="preserve">Finally, potential wage rate escalation on craft labor and per diem could pose a risk as a result of the potential labor shortage in the Gulf Coast region due to ongoing and proposed industrial capital investment.  To mitigate this risk, the agreed-upon </w:t>
      </w:r>
      <w:proofErr w:type="spellStart"/>
      <w:r>
        <w:t>EPC</w:t>
      </w:r>
      <w:proofErr w:type="spellEnd"/>
      <w:r>
        <w:t xml:space="preserve"> terms and conditions include a craft attraction allocation that would allow the </w:t>
      </w:r>
      <w:proofErr w:type="spellStart"/>
      <w:r>
        <w:t>EPC</w:t>
      </w:r>
      <w:proofErr w:type="spellEnd"/>
      <w:r>
        <w:t xml:space="preserve"> </w:t>
      </w:r>
      <w:r>
        <w:lastRenderedPageBreak/>
        <w:t xml:space="preserve">Consortium to request up to $10 million in the course of the agreement based upon increases in actual wage rates and per diem rates in order to attract the required skilled labor.  </w:t>
      </w:r>
    </w:p>
    <w:p w14:paraId="16985830" w14:textId="77777777" w:rsidR="006D430A" w:rsidRDefault="006D430A">
      <w:pPr>
        <w:pStyle w:val="Answer"/>
      </w:pPr>
    </w:p>
    <w:p w14:paraId="16985831" w14:textId="77777777" w:rsidR="006D430A" w:rsidRDefault="009E794D">
      <w:pPr>
        <w:pStyle w:val="Question"/>
      </w:pPr>
      <w:r>
        <w:t xml:space="preserve">PLEASE ELABORATE ON THE ALLOCATION OF CRAFT LABOR RISK TO the </w:t>
      </w:r>
      <w:proofErr w:type="spellStart"/>
      <w:r>
        <w:t>EPC</w:t>
      </w:r>
      <w:proofErr w:type="spellEnd"/>
      <w:r>
        <w:t xml:space="preserve"> Consortium. </w:t>
      </w:r>
    </w:p>
    <w:p w14:paraId="16985832" w14:textId="62307927" w:rsidR="006D430A" w:rsidRDefault="009E794D">
      <w:pPr>
        <w:pStyle w:val="Answer"/>
      </w:pPr>
      <w:r>
        <w:t xml:space="preserve">A. </w:t>
      </w:r>
      <w:r>
        <w:tab/>
        <w:t xml:space="preserve">Under the terms of the agreement, the </w:t>
      </w:r>
      <w:proofErr w:type="spellStart"/>
      <w:r>
        <w:t>EPC</w:t>
      </w:r>
      <w:proofErr w:type="spellEnd"/>
      <w:r>
        <w:t xml:space="preserve"> Consortium has agreed to assume productivity risk associated with craft labor (</w:t>
      </w:r>
      <w:r>
        <w:rPr>
          <w:i/>
        </w:rPr>
        <w:t>i.e.</w:t>
      </w:r>
      <w:r>
        <w:t>,</w:t>
      </w:r>
      <w:r>
        <w:rPr>
          <w:i/>
        </w:rPr>
        <w:t xml:space="preserve"> </w:t>
      </w:r>
      <w:r>
        <w:t xml:space="preserve">man-hour estimates).  The </w:t>
      </w:r>
      <w:proofErr w:type="spellStart"/>
      <w:r>
        <w:t>EPC</w:t>
      </w:r>
      <w:proofErr w:type="spellEnd"/>
      <w:r>
        <w:t xml:space="preserve"> Consortium has also agreed to assume subcontractors’ craft labor wage escalation risk as well as engineering and project management labor.</w:t>
      </w:r>
    </w:p>
    <w:p w14:paraId="16985833" w14:textId="67C3F3B4" w:rsidR="006D430A" w:rsidRDefault="009E794D">
      <w:pPr>
        <w:pStyle w:val="Answer2"/>
      </w:pPr>
      <w:r>
        <w:t xml:space="preserve">The </w:t>
      </w:r>
      <w:proofErr w:type="spellStart"/>
      <w:r>
        <w:t>EPC</w:t>
      </w:r>
      <w:proofErr w:type="spellEnd"/>
      <w:r>
        <w:t xml:space="preserve"> agreement pricing includes an annual 4% escalation assumption for direct and indirect craft labor rates and an annual 5% escalation assumption for direct and indirect craft labor per diem as in the </w:t>
      </w:r>
      <w:proofErr w:type="spellStart"/>
      <w:r>
        <w:t>EPC</w:t>
      </w:r>
      <w:proofErr w:type="spellEnd"/>
      <w:r>
        <w:t xml:space="preserve"> fixed price cost.</w:t>
      </w:r>
      <w:r>
        <w:rPr>
          <w:vertAlign w:val="superscript"/>
        </w:rPr>
        <w:footnoteReference w:id="8"/>
      </w:r>
      <w:r>
        <w:t xml:space="preserve">  An up to $10 million craft attraction contingency has been allocated to the project in the event that the </w:t>
      </w:r>
      <w:proofErr w:type="spellStart"/>
      <w:r>
        <w:t>EPC</w:t>
      </w:r>
      <w:proofErr w:type="spellEnd"/>
      <w:r>
        <w:t xml:space="preserve"> Consortium needs funds additional to those included in the </w:t>
      </w:r>
      <w:proofErr w:type="spellStart"/>
      <w:r>
        <w:t>EPC</w:t>
      </w:r>
      <w:proofErr w:type="spellEnd"/>
      <w:r>
        <w:t xml:space="preserve"> agreement pricing to either attract or retain the necessary craft labor to complete the work.  This would include the following: (1) craft labor rates required to attract craft labor are in the aggregate above those stipulated by the </w:t>
      </w:r>
      <w:proofErr w:type="spellStart"/>
      <w:r>
        <w:t>EPC</w:t>
      </w:r>
      <w:proofErr w:type="spellEnd"/>
      <w:r>
        <w:t xml:space="preserve"> agreement for initial hiring of craft personnel; (2) payment of subsistence rates above those listed in in the </w:t>
      </w:r>
      <w:proofErr w:type="spellStart"/>
      <w:r>
        <w:t>EPC</w:t>
      </w:r>
      <w:proofErr w:type="spellEnd"/>
      <w:r>
        <w:t xml:space="preserve"> agreement </w:t>
      </w:r>
      <w:r>
        <w:lastRenderedPageBreak/>
        <w:t xml:space="preserve">to attract or retain craft personnel; or (3) funding of retention programs for craft labor if necessary. </w:t>
      </w:r>
    </w:p>
    <w:p w14:paraId="16985834" w14:textId="77777777" w:rsidR="006D430A" w:rsidRDefault="006D430A">
      <w:pPr>
        <w:pStyle w:val="Answer"/>
      </w:pPr>
    </w:p>
    <w:p w14:paraId="16985835" w14:textId="77777777" w:rsidR="006D430A" w:rsidRDefault="009E794D">
      <w:pPr>
        <w:pStyle w:val="Question"/>
        <w:rPr>
          <w:rFonts w:eastAsia="Calibri"/>
          <w:caps w:val="0"/>
        </w:rPr>
      </w:pPr>
      <w:r>
        <w:rPr>
          <w:rFonts w:eastAsia="Calibri"/>
          <w:caps w:val="0"/>
        </w:rPr>
        <w:t xml:space="preserve">HAS THE GLOBAL ECONOMY EVIDENCED ANY ESCALATION OF COMMODITY COSTS SINCE THE EVALUATION OF THE OCAPS PROJECT BID IN THE 2020 </w:t>
      </w:r>
      <w:proofErr w:type="spellStart"/>
      <w:r>
        <w:rPr>
          <w:rFonts w:eastAsia="Calibri"/>
          <w:caps w:val="0"/>
        </w:rPr>
        <w:t>ETI</w:t>
      </w:r>
      <w:proofErr w:type="spellEnd"/>
      <w:r>
        <w:rPr>
          <w:rFonts w:eastAsia="Calibri"/>
          <w:caps w:val="0"/>
        </w:rPr>
        <w:t xml:space="preserve"> RFP?</w:t>
      </w:r>
    </w:p>
    <w:p w14:paraId="16985836" w14:textId="77777777" w:rsidR="006D430A" w:rsidRDefault="009E794D" w:rsidP="00263738">
      <w:pPr>
        <w:pStyle w:val="Answer"/>
      </w:pPr>
      <w:r>
        <w:t>A.</w:t>
      </w:r>
      <w:r>
        <w:tab/>
        <w:t xml:space="preserve">Yes.  The cost of the Project was originally estimated in April 2020 and the self-build proposal was submitted into the 2020 </w:t>
      </w:r>
      <w:proofErr w:type="spellStart"/>
      <w:r>
        <w:t>ETI</w:t>
      </w:r>
      <w:proofErr w:type="spellEnd"/>
      <w:r>
        <w:t xml:space="preserve"> RFP in August 2020.  After being updated to reflect the cost of plant infrastructure that will enable OCAPS to co-fire 30% hydrogen upon commercial operation, the total project cost is approximately $1.19 billion as discussed above.</w:t>
      </w:r>
    </w:p>
    <w:p w14:paraId="16985837" w14:textId="77777777" w:rsidR="006D430A" w:rsidRDefault="009E794D" w:rsidP="00263738">
      <w:pPr>
        <w:pStyle w:val="Answer2"/>
        <w:rPr>
          <w:rFonts w:eastAsia="Calibri"/>
        </w:rPr>
      </w:pPr>
      <w:r>
        <w:rPr>
          <w:rFonts w:eastAsia="Calibri"/>
        </w:rPr>
        <w:t xml:space="preserve">Since then, the global economy has experienced widespread increases in commodity, material, and other prices across market segments due to factors including the effects of the global </w:t>
      </w:r>
      <w:proofErr w:type="spellStart"/>
      <w:r>
        <w:rPr>
          <w:rFonts w:eastAsia="Calibri"/>
        </w:rPr>
        <w:t>COVID</w:t>
      </w:r>
      <w:proofErr w:type="spellEnd"/>
      <w:r>
        <w:rPr>
          <w:rFonts w:eastAsia="Calibri"/>
        </w:rPr>
        <w:t xml:space="preserve">-19 pandemic.  Relevant to OCAPS, Power Advocate’s June 2021 market overview showed price increases for steel (202%), aluminum (55%), copper (73%), and nickel (45%) during the last 12 months.  In addition, prices for major components to be included in the Project, including the combustion turbines, steam turbine, </w:t>
      </w:r>
      <w:proofErr w:type="spellStart"/>
      <w:r>
        <w:rPr>
          <w:rFonts w:eastAsia="Calibri"/>
        </w:rPr>
        <w:t>HRSGs</w:t>
      </w:r>
      <w:proofErr w:type="spellEnd"/>
      <w:r>
        <w:rPr>
          <w:rFonts w:eastAsia="Calibri"/>
        </w:rPr>
        <w:t xml:space="preserve">, fuel supply infrastructure, transmission, and engineered equipment and materials have experienced escalation of approximately 16%.  This rate of market escalation exceeds the level of escalation assumed in the Project bid.  If </w:t>
      </w:r>
      <w:proofErr w:type="spellStart"/>
      <w:r>
        <w:rPr>
          <w:rFonts w:eastAsia="Calibri"/>
        </w:rPr>
        <w:t>ETI</w:t>
      </w:r>
      <w:proofErr w:type="spellEnd"/>
      <w:r>
        <w:rPr>
          <w:rFonts w:eastAsia="Calibri"/>
        </w:rPr>
        <w:t xml:space="preserve"> were to execute the </w:t>
      </w:r>
      <w:proofErr w:type="spellStart"/>
      <w:r>
        <w:rPr>
          <w:rFonts w:eastAsia="Calibri"/>
        </w:rPr>
        <w:t>EPC</w:t>
      </w:r>
      <w:proofErr w:type="spellEnd"/>
      <w:r>
        <w:rPr>
          <w:rFonts w:eastAsia="Calibri"/>
        </w:rPr>
        <w:t xml:space="preserve"> Agreement at the time of this filing and insist upon fixed prices for the materials and major components needed to construct the Project (assuming the counterparty would agree to do so), it would increase the $1.19 billion total estimated </w:t>
      </w:r>
      <w:r>
        <w:rPr>
          <w:rFonts w:eastAsia="Calibri"/>
        </w:rPr>
        <w:lastRenderedPageBreak/>
        <w:t xml:space="preserve">cost of the Project by more than the current market escalation experienced based on the </w:t>
      </w:r>
      <w:proofErr w:type="spellStart"/>
      <w:r>
        <w:rPr>
          <w:rFonts w:eastAsia="Calibri"/>
        </w:rPr>
        <w:t>EPC</w:t>
      </w:r>
      <w:proofErr w:type="spellEnd"/>
      <w:r>
        <w:rPr>
          <w:rFonts w:eastAsia="Calibri"/>
        </w:rPr>
        <w:t xml:space="preserve"> Consortium’s assumption of risk in fixing prices for future purchases to be made soon after </w:t>
      </w:r>
      <w:proofErr w:type="spellStart"/>
      <w:r>
        <w:rPr>
          <w:rFonts w:eastAsia="Calibri"/>
        </w:rPr>
        <w:t>LNTP</w:t>
      </w:r>
      <w:proofErr w:type="spellEnd"/>
      <w:r>
        <w:rPr>
          <w:rFonts w:eastAsia="Calibri"/>
        </w:rPr>
        <w:t xml:space="preserve"> is issued for OCAPS in October 2022.</w:t>
      </w:r>
    </w:p>
    <w:p w14:paraId="16985838" w14:textId="77777777" w:rsidR="006D430A" w:rsidRDefault="006D430A">
      <w:pPr>
        <w:pStyle w:val="Answer"/>
        <w:rPr>
          <w:rFonts w:eastAsia="Calibri"/>
        </w:rPr>
      </w:pPr>
    </w:p>
    <w:p w14:paraId="16985839" w14:textId="77777777" w:rsidR="006D430A" w:rsidRDefault="009E794D">
      <w:pPr>
        <w:pStyle w:val="Question"/>
        <w:rPr>
          <w:rFonts w:eastAsia="Calibri"/>
          <w:caps w:val="0"/>
        </w:rPr>
      </w:pPr>
      <w:r>
        <w:rPr>
          <w:rFonts w:eastAsia="Calibri"/>
          <w:caps w:val="0"/>
        </w:rPr>
        <w:t xml:space="preserve">HOW IS THIS RECENT MARKET ESCALATION ADDRESSED IN THE </w:t>
      </w:r>
      <w:proofErr w:type="spellStart"/>
      <w:r>
        <w:rPr>
          <w:rFonts w:eastAsia="Calibri"/>
          <w:caps w:val="0"/>
        </w:rPr>
        <w:t>EPC</w:t>
      </w:r>
      <w:proofErr w:type="spellEnd"/>
      <w:r>
        <w:rPr>
          <w:rFonts w:eastAsia="Calibri"/>
          <w:caps w:val="0"/>
        </w:rPr>
        <w:t xml:space="preserve"> AGREEMENT?</w:t>
      </w:r>
    </w:p>
    <w:p w14:paraId="1698583A" w14:textId="27505F44" w:rsidR="006D430A" w:rsidRDefault="009E794D">
      <w:pPr>
        <w:pStyle w:val="Answer"/>
        <w:rPr>
          <w:rFonts w:eastAsia="Calibri"/>
        </w:rPr>
      </w:pPr>
      <w:r>
        <w:t>A.</w:t>
      </w:r>
      <w:r>
        <w:tab/>
      </w:r>
      <w:proofErr w:type="spellStart"/>
      <w:r>
        <w:rPr>
          <w:rFonts w:eastAsia="Calibri"/>
        </w:rPr>
        <w:t>ETI</w:t>
      </w:r>
      <w:proofErr w:type="spellEnd"/>
      <w:r>
        <w:rPr>
          <w:rFonts w:eastAsia="Calibri"/>
        </w:rPr>
        <w:t xml:space="preserve"> and the </w:t>
      </w:r>
      <w:proofErr w:type="spellStart"/>
      <w:r>
        <w:rPr>
          <w:rFonts w:eastAsia="Calibri"/>
        </w:rPr>
        <w:t>EPC</w:t>
      </w:r>
      <w:proofErr w:type="spellEnd"/>
      <w:r>
        <w:rPr>
          <w:rFonts w:eastAsia="Calibri"/>
        </w:rPr>
        <w:t xml:space="preserve"> Consortium expect the currently elevated materials and major component prices to decline between now and the issuance of </w:t>
      </w:r>
      <w:proofErr w:type="spellStart"/>
      <w:r>
        <w:rPr>
          <w:rFonts w:eastAsia="Calibri"/>
        </w:rPr>
        <w:t>LNTP</w:t>
      </w:r>
      <w:proofErr w:type="spellEnd"/>
      <w:r>
        <w:rPr>
          <w:rFonts w:eastAsia="Calibri"/>
        </w:rPr>
        <w:t xml:space="preserve">.  </w:t>
      </w:r>
      <w:r w:rsidR="00BF78DC">
        <w:rPr>
          <w:rFonts w:eastAsia="Calibri"/>
        </w:rPr>
        <w:t xml:space="preserve">The prices for certain materials and equipment necessary to construct OCAPS are forecasted to decline </w:t>
      </w:r>
      <w:r w:rsidR="000E47DD">
        <w:rPr>
          <w:rFonts w:eastAsia="Calibri"/>
        </w:rPr>
        <w:t>materially</w:t>
      </w:r>
      <w:r w:rsidR="00F771D5">
        <w:rPr>
          <w:rFonts w:eastAsia="Calibri"/>
        </w:rPr>
        <w:t xml:space="preserve"> between now and the time </w:t>
      </w:r>
      <w:r w:rsidR="00DD6E70">
        <w:rPr>
          <w:rFonts w:eastAsia="Calibri"/>
        </w:rPr>
        <w:t>they will be purchased for OCAPS</w:t>
      </w:r>
      <w:r w:rsidR="00BF78DC">
        <w:rPr>
          <w:rFonts w:eastAsia="Calibri"/>
        </w:rPr>
        <w:t xml:space="preserve">.  </w:t>
      </w:r>
      <w:r>
        <w:rPr>
          <w:rFonts w:eastAsia="Calibri"/>
        </w:rPr>
        <w:t xml:space="preserve">As an historical example, increased market escalation occurred during the 2008 global financial crisis.  Within five months of reaching the peak of the escalation, prices in aggregate had returned to approximately the level seen prior to the crisis and declined further over the next few months.  More recently, the price of lumber has stabilized after having experienced significant escalation.  Accordingly, to avoid locking in elevated Project costs, the </w:t>
      </w:r>
      <w:proofErr w:type="spellStart"/>
      <w:r>
        <w:rPr>
          <w:rFonts w:eastAsia="Calibri"/>
        </w:rPr>
        <w:t>EPC</w:t>
      </w:r>
      <w:proofErr w:type="spellEnd"/>
      <w:r>
        <w:rPr>
          <w:rFonts w:eastAsia="Calibri"/>
        </w:rPr>
        <w:t xml:space="preserve"> Agreement includes a true-up mechanism for specific categories of costs related to materials, major components, and craft labor.  This mechanism allows the cost of these items to fluctuate until shortly before </w:t>
      </w:r>
      <w:proofErr w:type="spellStart"/>
      <w:r>
        <w:rPr>
          <w:rFonts w:eastAsia="Calibri"/>
        </w:rPr>
        <w:t>LNTP</w:t>
      </w:r>
      <w:proofErr w:type="spellEnd"/>
      <w:r>
        <w:rPr>
          <w:rFonts w:eastAsia="Calibri"/>
        </w:rPr>
        <w:t xml:space="preserve">, at which point they will be fixed.  At that point, the true-up mechanism will compare then-current prices to those submitted during the RFP, and adjustments will be made up or down to arrive at the final </w:t>
      </w:r>
      <w:proofErr w:type="spellStart"/>
      <w:r>
        <w:rPr>
          <w:rFonts w:eastAsia="Calibri"/>
        </w:rPr>
        <w:t>EPC</w:t>
      </w:r>
      <w:proofErr w:type="spellEnd"/>
      <w:r>
        <w:rPr>
          <w:rFonts w:eastAsia="Calibri"/>
        </w:rPr>
        <w:t xml:space="preserve"> price.</w:t>
      </w:r>
    </w:p>
    <w:p w14:paraId="1698583B" w14:textId="77777777" w:rsidR="006D430A" w:rsidRDefault="006D430A" w:rsidP="00C36FD9">
      <w:pPr>
        <w:pStyle w:val="Answer"/>
        <w:suppressLineNumbers/>
      </w:pPr>
    </w:p>
    <w:p w14:paraId="1698583C" w14:textId="77777777" w:rsidR="006D430A" w:rsidRDefault="009E794D">
      <w:pPr>
        <w:pStyle w:val="Question"/>
        <w:rPr>
          <w:rFonts w:eastAsia="Calibri"/>
          <w:caps w:val="0"/>
        </w:rPr>
      </w:pPr>
      <w:r>
        <w:rPr>
          <w:rFonts w:eastAsia="Calibri"/>
          <w:caps w:val="0"/>
        </w:rPr>
        <w:lastRenderedPageBreak/>
        <w:t xml:space="preserve">WILL </w:t>
      </w:r>
      <w:proofErr w:type="spellStart"/>
      <w:r>
        <w:rPr>
          <w:rFonts w:eastAsia="Calibri"/>
          <w:caps w:val="0"/>
        </w:rPr>
        <w:t>ETI</w:t>
      </w:r>
      <w:proofErr w:type="spellEnd"/>
      <w:r>
        <w:rPr>
          <w:rFonts w:eastAsia="Calibri"/>
          <w:caps w:val="0"/>
        </w:rPr>
        <w:t xml:space="preserve"> PROVIDE PERIODIC REPORTS OVER THE COURSE OF THIS PROCEEDING IN ORDER TO KEEP THE COMMISSION AND STAKEHOLDERS AP</w:t>
      </w:r>
      <w:r w:rsidR="003130B7">
        <w:rPr>
          <w:rFonts w:eastAsia="Calibri"/>
          <w:caps w:val="0"/>
        </w:rPr>
        <w:t>P</w:t>
      </w:r>
      <w:r>
        <w:rPr>
          <w:rFonts w:eastAsia="Calibri"/>
          <w:caps w:val="0"/>
        </w:rPr>
        <w:t>RISED OF THE EXTENT OF MARKET ESCALATION EXPERIENCED BY THE PROJECT?</w:t>
      </w:r>
    </w:p>
    <w:p w14:paraId="1698583D" w14:textId="77777777" w:rsidR="006D430A" w:rsidRDefault="009E794D">
      <w:pPr>
        <w:pStyle w:val="Answer"/>
      </w:pPr>
      <w:r>
        <w:t>A.</w:t>
      </w:r>
      <w:r>
        <w:tab/>
        <w:t>Yes.</w:t>
      </w:r>
    </w:p>
    <w:p w14:paraId="1698583E" w14:textId="77777777" w:rsidR="006D430A" w:rsidRDefault="006D430A">
      <w:pPr>
        <w:pStyle w:val="Answer"/>
      </w:pPr>
    </w:p>
    <w:p w14:paraId="1698583F" w14:textId="77777777" w:rsidR="006D430A" w:rsidRDefault="009E794D">
      <w:pPr>
        <w:pStyle w:val="Question"/>
        <w:rPr>
          <w:rFonts w:eastAsia="Calibri"/>
          <w:caps w:val="0"/>
        </w:rPr>
      </w:pPr>
      <w:r>
        <w:rPr>
          <w:rFonts w:eastAsia="Calibri"/>
          <w:caps w:val="0"/>
        </w:rPr>
        <w:t>HOW COULD THIS MARKET ESCALAT</w:t>
      </w:r>
      <w:r w:rsidR="003130B7">
        <w:rPr>
          <w:rFonts w:eastAsia="Calibri"/>
          <w:caps w:val="0"/>
        </w:rPr>
        <w:t>I</w:t>
      </w:r>
      <w:r>
        <w:rPr>
          <w:rFonts w:eastAsia="Calibri"/>
          <w:caps w:val="0"/>
        </w:rPr>
        <w:t xml:space="preserve">ON AFFECT THE NET BENEFITS OF THE PROJECT TO </w:t>
      </w:r>
      <w:proofErr w:type="spellStart"/>
      <w:r>
        <w:rPr>
          <w:rFonts w:eastAsia="Calibri"/>
          <w:caps w:val="0"/>
        </w:rPr>
        <w:t>ETI</w:t>
      </w:r>
      <w:proofErr w:type="spellEnd"/>
      <w:r>
        <w:rPr>
          <w:rFonts w:eastAsia="Calibri"/>
          <w:caps w:val="0"/>
        </w:rPr>
        <w:t xml:space="preserve"> CUSTOMERS?</w:t>
      </w:r>
    </w:p>
    <w:p w14:paraId="16985840" w14:textId="516384B3" w:rsidR="006D430A" w:rsidRDefault="009E794D">
      <w:pPr>
        <w:pStyle w:val="Answer"/>
        <w:rPr>
          <w:rFonts w:eastAsia="Calibri"/>
        </w:rPr>
      </w:pPr>
      <w:r>
        <w:t>A.</w:t>
      </w:r>
      <w:r>
        <w:tab/>
      </w:r>
      <w:r>
        <w:rPr>
          <w:rFonts w:eastAsia="Calibri"/>
        </w:rPr>
        <w:t xml:space="preserve">As explained in detail by </w:t>
      </w:r>
      <w:proofErr w:type="spellStart"/>
      <w:r>
        <w:rPr>
          <w:rFonts w:eastAsia="Calibri"/>
        </w:rPr>
        <w:t>ETI</w:t>
      </w:r>
      <w:proofErr w:type="spellEnd"/>
      <w:r>
        <w:rPr>
          <w:rFonts w:eastAsia="Calibri"/>
        </w:rPr>
        <w:t xml:space="preserve"> witness </w:t>
      </w:r>
      <w:proofErr w:type="spellStart"/>
      <w:r>
        <w:rPr>
          <w:rFonts w:eastAsia="Calibri"/>
        </w:rPr>
        <w:t>Phong</w:t>
      </w:r>
      <w:proofErr w:type="spellEnd"/>
      <w:r>
        <w:rPr>
          <w:rFonts w:eastAsia="Calibri"/>
        </w:rPr>
        <w:t xml:space="preserve"> Nguyen, at the estimated $1.19 billion total estimated cost of OCAPS, the Project is expected to provide roughly $1.85 billion in net benefits to </w:t>
      </w:r>
      <w:proofErr w:type="spellStart"/>
      <w:r>
        <w:rPr>
          <w:rFonts w:eastAsia="Calibri"/>
        </w:rPr>
        <w:t>ETI</w:t>
      </w:r>
      <w:proofErr w:type="spellEnd"/>
      <w:r>
        <w:rPr>
          <w:rFonts w:eastAsia="Calibri"/>
        </w:rPr>
        <w:t xml:space="preserve"> customers over and above the cost of the Project.  While </w:t>
      </w:r>
      <w:proofErr w:type="spellStart"/>
      <w:r>
        <w:rPr>
          <w:rFonts w:eastAsia="Calibri"/>
        </w:rPr>
        <w:t>ETI</w:t>
      </w:r>
      <w:proofErr w:type="spellEnd"/>
      <w:r>
        <w:rPr>
          <w:rFonts w:eastAsia="Calibri"/>
        </w:rPr>
        <w:t xml:space="preserve"> and the </w:t>
      </w:r>
      <w:proofErr w:type="spellStart"/>
      <w:r>
        <w:rPr>
          <w:rFonts w:eastAsia="Calibri"/>
        </w:rPr>
        <w:t>EPC</w:t>
      </w:r>
      <w:proofErr w:type="spellEnd"/>
      <w:r>
        <w:rPr>
          <w:rFonts w:eastAsia="Calibri"/>
        </w:rPr>
        <w:t xml:space="preserve"> Consortium expect the current level of </w:t>
      </w:r>
      <w:r w:rsidR="00EF53BB">
        <w:rPr>
          <w:rFonts w:eastAsia="Calibri"/>
        </w:rPr>
        <w:t>market</w:t>
      </w:r>
      <w:r>
        <w:rPr>
          <w:rFonts w:eastAsia="Calibri"/>
        </w:rPr>
        <w:t xml:space="preserve"> escalation to decline materially by the time those prices will be fixed under the </w:t>
      </w:r>
      <w:proofErr w:type="spellStart"/>
      <w:r>
        <w:rPr>
          <w:rFonts w:eastAsia="Calibri"/>
        </w:rPr>
        <w:t>EPC</w:t>
      </w:r>
      <w:proofErr w:type="spellEnd"/>
      <w:r>
        <w:rPr>
          <w:rFonts w:eastAsia="Calibri"/>
        </w:rPr>
        <w:t xml:space="preserve"> Agreement</w:t>
      </w:r>
      <w:r w:rsidR="00BF78DC">
        <w:rPr>
          <w:rFonts w:eastAsia="Calibri"/>
        </w:rPr>
        <w:t xml:space="preserve"> (as discussed earlier),</w:t>
      </w:r>
      <w:r>
        <w:rPr>
          <w:rFonts w:eastAsia="Calibri"/>
        </w:rPr>
        <w:t xml:space="preserve"> any cost escalation that remains above that already assumed in the </w:t>
      </w:r>
      <w:proofErr w:type="spellStart"/>
      <w:r>
        <w:rPr>
          <w:rFonts w:eastAsia="Calibri"/>
        </w:rPr>
        <w:t>EPC</w:t>
      </w:r>
      <w:proofErr w:type="spellEnd"/>
      <w:r>
        <w:rPr>
          <w:rFonts w:eastAsia="Calibri"/>
        </w:rPr>
        <w:t xml:space="preserve"> Agreement will reduce the total net benefits of OCAPS.  However, given the robust net benefits of OCAPS, the current level of escalation, and the finite amount of time at issue, I do not see a risk that market escalation will threaten the economic viability of the Project.  The total cost of the Project would have to increase by well over $1.5 billion (or roughly 125%) to begin to threaten the economic viability of the Project, and there is no realistic possibility of that occurring.</w:t>
      </w:r>
    </w:p>
    <w:p w14:paraId="16985841" w14:textId="77777777" w:rsidR="006D430A" w:rsidRDefault="006D430A" w:rsidP="00C36FD9">
      <w:pPr>
        <w:pStyle w:val="Answer"/>
        <w:suppressLineNumbers/>
      </w:pPr>
    </w:p>
    <w:p w14:paraId="16985842" w14:textId="77777777" w:rsidR="006D430A" w:rsidRDefault="009E794D">
      <w:pPr>
        <w:pStyle w:val="Question"/>
      </w:pPr>
      <w:r>
        <w:lastRenderedPageBreak/>
        <w:t xml:space="preserve">WILL THE </w:t>
      </w:r>
      <w:proofErr w:type="spellStart"/>
      <w:r>
        <w:t>EPC</w:t>
      </w:r>
      <w:proofErr w:type="spellEnd"/>
      <w:r>
        <w:t xml:space="preserve"> AGREEMENT HAVE PROVISIONS THAT MITIGATE RISK RELATING TO the </w:t>
      </w:r>
      <w:proofErr w:type="spellStart"/>
      <w:r>
        <w:t>EPC</w:t>
      </w:r>
      <w:proofErr w:type="spellEnd"/>
      <w:r>
        <w:t xml:space="preserve"> consortium’S PERFORMANCE? </w:t>
      </w:r>
    </w:p>
    <w:p w14:paraId="16985843" w14:textId="74FBF103" w:rsidR="006D430A" w:rsidRDefault="009E794D">
      <w:pPr>
        <w:pStyle w:val="Answer"/>
      </w:pPr>
      <w:r>
        <w:t>A.</w:t>
      </w:r>
      <w:r>
        <w:tab/>
        <w:t xml:space="preserve">Yes.  As I discussed earlier, the fixed-price, fixed-duration form of contract, coupled with liquidated damages for late delivery, heat rate, and output provide a measure of protection for customers.  Additionally, the agreed-upon </w:t>
      </w:r>
      <w:proofErr w:type="spellStart"/>
      <w:r>
        <w:t>EPC</w:t>
      </w:r>
      <w:proofErr w:type="spellEnd"/>
      <w:r>
        <w:t xml:space="preserve"> general terms and conditions require that the </w:t>
      </w:r>
      <w:proofErr w:type="spellStart"/>
      <w:r>
        <w:t>EPC</w:t>
      </w:r>
      <w:proofErr w:type="spellEnd"/>
      <w:r>
        <w:t xml:space="preserve"> Consortium deliver a finished product that meets minimum requirements for performance and to warranty that work for 12 months following Substantial Completion.  The </w:t>
      </w:r>
      <w:proofErr w:type="spellStart"/>
      <w:r>
        <w:t>EPC</w:t>
      </w:r>
      <w:proofErr w:type="spellEnd"/>
      <w:r>
        <w:t xml:space="preserve"> Consortium is also required to indemnify </w:t>
      </w:r>
      <w:proofErr w:type="spellStart"/>
      <w:r>
        <w:t>ETI</w:t>
      </w:r>
      <w:proofErr w:type="spellEnd"/>
      <w:r>
        <w:t xml:space="preserve"> against claims for bodily injury and third-party property damage.  </w:t>
      </w:r>
    </w:p>
    <w:p w14:paraId="16985844" w14:textId="320C1B3D" w:rsidR="006D430A" w:rsidRDefault="009E794D">
      <w:pPr>
        <w:pStyle w:val="Answer2"/>
      </w:pPr>
      <w:r>
        <w:t xml:space="preserve">The agreed-upon </w:t>
      </w:r>
      <w:proofErr w:type="spellStart"/>
      <w:r>
        <w:t>EPC</w:t>
      </w:r>
      <w:proofErr w:type="spellEnd"/>
      <w:r>
        <w:t xml:space="preserve"> terms establish a milestone payment structure whereby the contractor will only be paid for the work that has been completed, as verified by </w:t>
      </w:r>
      <w:proofErr w:type="spellStart"/>
      <w:r>
        <w:t>ETI</w:t>
      </w:r>
      <w:proofErr w:type="spellEnd"/>
      <w:r>
        <w:t xml:space="preserve">.  The milestone payments are subject to a cumulative cap with monthly values stated in the contract that protects the Company’s cash flow.  Additionally, payment retention will be accomplished in two ways:  (1) a retention payment to be paid upon successful demonstration of the milestone for Substantial Completion up to 33%, and (2) there will be an ascending letter of credit that will be equal to 5% of the contract value, which will increase in value each month as milestones are paid.  After Substantial Completion, the total amount of retention will be reduced to an amount equal to the remaining obligations that will include $2 million in retained payments for successful completion of defined project demonstration and reliability tests.  The retention will be reduced as obligations are met with the cash component being reduced last at final acceptance.  These and other contractual protections, as well as applicable </w:t>
      </w:r>
      <w:r>
        <w:lastRenderedPageBreak/>
        <w:t xml:space="preserve">limits of liability, are explained in the </w:t>
      </w:r>
      <w:proofErr w:type="spellStart"/>
      <w:r>
        <w:t>EPC</w:t>
      </w:r>
      <w:proofErr w:type="spellEnd"/>
      <w:r>
        <w:t xml:space="preserve"> agreement term summary, attached as </w:t>
      </w:r>
      <w:proofErr w:type="spellStart"/>
      <w:r>
        <w:t>HSPM</w:t>
      </w:r>
      <w:proofErr w:type="spellEnd"/>
      <w:r>
        <w:t xml:space="preserve"> Exhibit CR-8.</w:t>
      </w:r>
    </w:p>
    <w:p w14:paraId="16985845" w14:textId="77777777" w:rsidR="006D430A" w:rsidRDefault="006D430A">
      <w:pPr>
        <w:pStyle w:val="Answer"/>
      </w:pPr>
    </w:p>
    <w:p w14:paraId="16985846" w14:textId="77777777" w:rsidR="006D430A" w:rsidRDefault="009E794D">
      <w:pPr>
        <w:pStyle w:val="Question"/>
      </w:pPr>
      <w:r>
        <w:t xml:space="preserve">WHAT TYPE OF INSURANCE IS INCLUDED IN THE COST ESTIMATE FOR THE PROJECT? </w:t>
      </w:r>
    </w:p>
    <w:p w14:paraId="16985847" w14:textId="77777777" w:rsidR="006D430A" w:rsidRDefault="009E794D">
      <w:pPr>
        <w:pStyle w:val="Answer"/>
      </w:pPr>
      <w:r>
        <w:t>A.</w:t>
      </w:r>
      <w:r>
        <w:tab/>
        <w:t xml:space="preserve">The Company intends to procure insurance prior to the issuance of the </w:t>
      </w:r>
      <w:proofErr w:type="spellStart"/>
      <w:r>
        <w:t>LNTP</w:t>
      </w:r>
      <w:proofErr w:type="spellEnd"/>
      <w:r>
        <w:t>.  The expected coverage will include Builders All Risk (“BAR”) and Delay in Startup (“</w:t>
      </w:r>
      <w:proofErr w:type="spellStart"/>
      <w:r>
        <w:t>DSU</w:t>
      </w:r>
      <w:proofErr w:type="spellEnd"/>
      <w:r>
        <w:t>”).</w:t>
      </w:r>
    </w:p>
    <w:p w14:paraId="16985848" w14:textId="77777777" w:rsidR="006D430A" w:rsidRDefault="006D430A">
      <w:pPr>
        <w:pStyle w:val="Answer"/>
      </w:pPr>
    </w:p>
    <w:p w14:paraId="16985849" w14:textId="77777777" w:rsidR="006D430A" w:rsidRDefault="009E794D">
      <w:pPr>
        <w:pStyle w:val="Question"/>
      </w:pPr>
      <w:r>
        <w:t xml:space="preserve">WHAT DOES BAR INSURANCE COVER? </w:t>
      </w:r>
    </w:p>
    <w:p w14:paraId="1698584A" w14:textId="77777777" w:rsidR="006D430A" w:rsidRDefault="009E794D">
      <w:pPr>
        <w:pStyle w:val="Answer"/>
      </w:pPr>
      <w:r>
        <w:t>A.</w:t>
      </w:r>
      <w:r>
        <w:tab/>
        <w:t xml:space="preserve">BAR insurance is for the benefit of the Company, the contractors, and subcontractors of every tier, and covers property damage to the project work from non-excluded perils while it is under construction, from the moment of inland shipment from an OEM and/or supplier until the policy lapses.  The limit of liability on the BAR is expected to be roughly equal to the </w:t>
      </w:r>
      <w:proofErr w:type="spellStart"/>
      <w:r>
        <w:t>EPC</w:t>
      </w:r>
      <w:proofErr w:type="spellEnd"/>
      <w:r>
        <w:t xml:space="preserve"> contract value, subject to various deductibles depending on the insured peril.  </w:t>
      </w:r>
    </w:p>
    <w:p w14:paraId="1698584B" w14:textId="77777777" w:rsidR="006D430A" w:rsidRDefault="006D430A">
      <w:pPr>
        <w:pStyle w:val="Answer"/>
      </w:pPr>
    </w:p>
    <w:p w14:paraId="1698584C" w14:textId="77777777" w:rsidR="006D430A" w:rsidRDefault="009E794D">
      <w:pPr>
        <w:pStyle w:val="Question"/>
      </w:pPr>
      <w:r>
        <w:t xml:space="preserve">WHAT DOES </w:t>
      </w:r>
      <w:proofErr w:type="spellStart"/>
      <w:r>
        <w:t>DSU</w:t>
      </w:r>
      <w:proofErr w:type="spellEnd"/>
      <w:r>
        <w:t xml:space="preserve"> INSURANCE COVER? </w:t>
      </w:r>
    </w:p>
    <w:p w14:paraId="1698584D" w14:textId="77777777" w:rsidR="006D430A" w:rsidRDefault="009E794D">
      <w:pPr>
        <w:pStyle w:val="Answer"/>
        <w:numPr>
          <w:ilvl w:val="0"/>
          <w:numId w:val="28"/>
        </w:numPr>
        <w:ind w:left="720"/>
      </w:pPr>
      <w:r>
        <w:t xml:space="preserve">The </w:t>
      </w:r>
      <w:proofErr w:type="spellStart"/>
      <w:r>
        <w:t>DSU</w:t>
      </w:r>
      <w:proofErr w:type="spellEnd"/>
      <w:r>
        <w:t xml:space="preserve"> insurance covers certain schedule-delay costs resulting from property damage to project work caused by a non-excluded peril under the BAR insurance.  After the deductible period is met, </w:t>
      </w:r>
      <w:proofErr w:type="spellStart"/>
      <w:r>
        <w:t>DSU</w:t>
      </w:r>
      <w:proofErr w:type="spellEnd"/>
      <w:r>
        <w:t xml:space="preserve"> insurance provides coverage for certain costs until project completion is achieved, including </w:t>
      </w:r>
      <w:proofErr w:type="spellStart"/>
      <w:r>
        <w:t>AFUDC</w:t>
      </w:r>
      <w:proofErr w:type="spellEnd"/>
      <w:r>
        <w:t xml:space="preserve">, owner’s costs, and the contractors’ increased site costs.  The indemnities under the </w:t>
      </w:r>
      <w:proofErr w:type="spellStart"/>
      <w:r>
        <w:t>DSU</w:t>
      </w:r>
      <w:proofErr w:type="spellEnd"/>
      <w:r>
        <w:t xml:space="preserve"> policy are subject to </w:t>
      </w:r>
      <w:r>
        <w:lastRenderedPageBreak/>
        <w:t xml:space="preserve">a monthly maximum as well as an aggregate limit.  Although the Company has not yet placed </w:t>
      </w:r>
      <w:proofErr w:type="spellStart"/>
      <w:r>
        <w:t>DSU</w:t>
      </w:r>
      <w:proofErr w:type="spellEnd"/>
      <w:r>
        <w:t xml:space="preserve"> coverage for OCAPS, it expects to obtain a maximum monthly indemnity of approximately $8 million and an 18-month maximum indemnity of approximately $145 million.</w:t>
      </w:r>
    </w:p>
    <w:p w14:paraId="1698584E" w14:textId="77777777" w:rsidR="006D430A" w:rsidRDefault="006D430A">
      <w:pPr>
        <w:pStyle w:val="Answer"/>
      </w:pPr>
    </w:p>
    <w:p w14:paraId="1698584F" w14:textId="77777777" w:rsidR="006D430A" w:rsidRDefault="009E794D">
      <w:pPr>
        <w:pStyle w:val="Heading1"/>
      </w:pPr>
      <w:bookmarkStart w:id="54" w:name="_Toc65862126"/>
      <w:bookmarkStart w:id="55" w:name="_Toc82444607"/>
      <w:r>
        <w:t>Conclusion</w:t>
      </w:r>
      <w:bookmarkEnd w:id="54"/>
      <w:bookmarkEnd w:id="55"/>
    </w:p>
    <w:p w14:paraId="16985850" w14:textId="77777777" w:rsidR="006D430A" w:rsidRDefault="009E794D">
      <w:pPr>
        <w:pStyle w:val="Question"/>
      </w:pPr>
      <w:r>
        <w:t>DOES THIS CONCLUDE YOUR TESTIMONY?</w:t>
      </w:r>
    </w:p>
    <w:p w14:paraId="16985851" w14:textId="77777777" w:rsidR="006D430A" w:rsidRDefault="009E794D">
      <w:pPr>
        <w:pStyle w:val="Answer"/>
      </w:pPr>
      <w:r>
        <w:t>A.</w:t>
      </w:r>
      <w:r>
        <w:tab/>
        <w:t>Yes, at this time.</w:t>
      </w:r>
    </w:p>
    <w:sectPr w:rsidR="006D430A">
      <w:headerReference w:type="default" r:id="rId10"/>
      <w:footerReference w:type="default" r:id="rId11"/>
      <w:pgSz w:w="12240" w:h="15840" w:code="1"/>
      <w:pgMar w:top="1440" w:right="1440" w:bottom="1440" w:left="1440" w:header="720" w:footer="720" w:gutter="36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337B0" w14:textId="77777777" w:rsidR="008E1EBE" w:rsidRDefault="008E1EBE">
      <w:pPr>
        <w:spacing w:line="240" w:lineRule="auto"/>
      </w:pPr>
      <w:r>
        <w:separator/>
      </w:r>
    </w:p>
  </w:endnote>
  <w:endnote w:type="continuationSeparator" w:id="0">
    <w:p w14:paraId="3C657126" w14:textId="77777777" w:rsidR="008E1EBE" w:rsidRDefault="008E1EBE">
      <w:pPr>
        <w:spacing w:line="240" w:lineRule="auto"/>
      </w:pPr>
      <w:r>
        <w:continuationSeparator/>
      </w:r>
    </w:p>
  </w:endnote>
  <w:endnote w:type="continuationNotice" w:id="1">
    <w:p w14:paraId="4E607D17" w14:textId="77777777" w:rsidR="008E1EBE" w:rsidRDefault="008E1E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8585B" w14:textId="77777777" w:rsidR="008E1EBE" w:rsidRDefault="008E1E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98585C" w14:textId="77777777" w:rsidR="008E1EBE" w:rsidRDefault="008E1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85864" w14:textId="77777777" w:rsidR="008E1EBE" w:rsidRDefault="008E1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D651A" w14:textId="77777777" w:rsidR="008E1EBE" w:rsidRDefault="008E1EBE">
      <w:pPr>
        <w:spacing w:line="240" w:lineRule="auto"/>
      </w:pPr>
      <w:r>
        <w:separator/>
      </w:r>
    </w:p>
  </w:footnote>
  <w:footnote w:type="continuationSeparator" w:id="0">
    <w:p w14:paraId="18136281" w14:textId="77777777" w:rsidR="008E1EBE" w:rsidRDefault="008E1EBE">
      <w:pPr>
        <w:spacing w:line="240" w:lineRule="auto"/>
      </w:pPr>
      <w:r>
        <w:continuationSeparator/>
      </w:r>
    </w:p>
  </w:footnote>
  <w:footnote w:type="continuationNotice" w:id="1">
    <w:p w14:paraId="0F80E71C" w14:textId="77777777" w:rsidR="008E1EBE" w:rsidRDefault="008E1EBE">
      <w:pPr>
        <w:spacing w:line="240" w:lineRule="auto"/>
      </w:pPr>
    </w:p>
  </w:footnote>
  <w:footnote w:id="2">
    <w:p w14:paraId="16985865" w14:textId="77777777" w:rsidR="008E1EBE" w:rsidRDefault="008E1EBE">
      <w:pPr>
        <w:pStyle w:val="FootnoteText"/>
        <w:rPr>
          <w:color w:val="000000" w:themeColor="text1"/>
        </w:rPr>
      </w:pPr>
      <w:r>
        <w:rPr>
          <w:rStyle w:val="FootnoteReference"/>
        </w:rPr>
        <w:footnoteRef/>
      </w:r>
      <w:r>
        <w:tab/>
        <w:t xml:space="preserve">ESL (formerly, Entergy Services, Inc.) is an affiliate of the Entergy Operating Companies that provides engineering, planning, accounting, legal, technical, regulatory, and other administrative support services to each of the Entergy Operating Companies.  The Entergy Operating Companies are Entergy Arkansas, LLC; Entergy Louisiana, LLC; Entergy Mississippi, LLC; Entergy New Orleans, LLC; and Entergy Texas, Inc.  In this testimony, I sometimes use the term “Entergy” to refer individually and collectively to Entergy Corp. and its affiliates, including but not limited to ESL and the Entergy Operating Companies.    </w:t>
      </w:r>
    </w:p>
  </w:footnote>
  <w:footnote w:id="3">
    <w:p w14:paraId="16985866" w14:textId="77777777" w:rsidR="008E1EBE" w:rsidRDefault="008E1EBE">
      <w:pPr>
        <w:pStyle w:val="FootnoteText"/>
        <w:rPr>
          <w:b/>
        </w:rPr>
      </w:pPr>
      <w:r>
        <w:rPr>
          <w:rStyle w:val="FootnoteReference"/>
        </w:rPr>
        <w:footnoteRef/>
      </w:r>
      <w:r>
        <w:tab/>
        <w:t xml:space="preserve">Nominal size refers to the general size of the unit at International Organization for Standardization (“ISO”) conditions.  As discussed later in my testimony, actual output of a unit depends on a number of factors that vary from unit to unit and site to site.  </w:t>
      </w:r>
    </w:p>
  </w:footnote>
  <w:footnote w:id="4">
    <w:p w14:paraId="16985867" w14:textId="46999588" w:rsidR="008E1EBE" w:rsidRDefault="008E1EBE">
      <w:pPr>
        <w:pStyle w:val="FootnoteText"/>
      </w:pPr>
      <w:r>
        <w:rPr>
          <w:rStyle w:val="FootnoteReference"/>
        </w:rPr>
        <w:footnoteRef/>
      </w:r>
      <w:r>
        <w:tab/>
        <w:t xml:space="preserve">Throughout my testimony, I refer to the </w:t>
      </w:r>
      <w:proofErr w:type="spellStart"/>
      <w:r>
        <w:t>EPC</w:t>
      </w:r>
      <w:proofErr w:type="spellEnd"/>
      <w:r>
        <w:t xml:space="preserve"> agreement with the </w:t>
      </w:r>
      <w:proofErr w:type="spellStart"/>
      <w:r>
        <w:t>EPC</w:t>
      </w:r>
      <w:proofErr w:type="spellEnd"/>
      <w:r>
        <w:t xml:space="preserve"> Consortium as a “fixed-price” form of </w:t>
      </w:r>
      <w:proofErr w:type="spellStart"/>
      <w:r>
        <w:t>EPC</w:t>
      </w:r>
      <w:proofErr w:type="spellEnd"/>
      <w:r>
        <w:t xml:space="preserve"> agreement.  It should be noted that while the </w:t>
      </w:r>
      <w:proofErr w:type="spellStart"/>
      <w:r>
        <w:t>EPC</w:t>
      </w:r>
      <w:proofErr w:type="spellEnd"/>
      <w:r>
        <w:t xml:space="preserve"> agreement with the </w:t>
      </w:r>
      <w:proofErr w:type="spellStart"/>
      <w:r>
        <w:t>EPC</w:t>
      </w:r>
      <w:proofErr w:type="spellEnd"/>
      <w:r>
        <w:t xml:space="preserve"> Consortium is a fixed-price form of contract, there are elements of the pricing that are not fixed, which will be discussed below in my direct testimony.  The primary elements that are not fixed are the craft labor attraction provision in the OCAPS </w:t>
      </w:r>
      <w:proofErr w:type="spellStart"/>
      <w:r>
        <w:t>EPC</w:t>
      </w:r>
      <w:proofErr w:type="spellEnd"/>
      <w:r>
        <w:t xml:space="preserve"> Agreement, which is fully explained below.  The </w:t>
      </w:r>
      <w:proofErr w:type="spellStart"/>
      <w:r>
        <w:t>EPC</w:t>
      </w:r>
      <w:proofErr w:type="spellEnd"/>
      <w:r>
        <w:t xml:space="preserve"> agreement will also account for occurrences beyond </w:t>
      </w:r>
      <w:proofErr w:type="spellStart"/>
      <w:r>
        <w:t>ETI’s</w:t>
      </w:r>
      <w:proofErr w:type="spellEnd"/>
      <w:r>
        <w:t xml:space="preserve"> or the </w:t>
      </w:r>
      <w:proofErr w:type="spellStart"/>
      <w:r>
        <w:t>EPC</w:t>
      </w:r>
      <w:proofErr w:type="spellEnd"/>
      <w:r>
        <w:t xml:space="preserve"> Consortium’s control, </w:t>
      </w:r>
      <w:r>
        <w:rPr>
          <w:i/>
        </w:rPr>
        <w:t>e.g.</w:t>
      </w:r>
      <w:r>
        <w:t>, potential market price escalation as discussed below.</w:t>
      </w:r>
    </w:p>
  </w:footnote>
  <w:footnote w:id="5">
    <w:p w14:paraId="16985868" w14:textId="77777777" w:rsidR="008E1EBE" w:rsidRDefault="008E1EBE">
      <w:pPr>
        <w:pStyle w:val="FootnoteText"/>
      </w:pPr>
      <w:r>
        <w:rPr>
          <w:rStyle w:val="FootnoteReference"/>
        </w:rPr>
        <w:footnoteRef/>
      </w:r>
      <w:r>
        <w:tab/>
        <w:t xml:space="preserve">As discussed more fully by Mr. Kline, the final transmission and interconnection upgrades will be determined by the Midcontinent Independent System Operator, Inc. (“MISO”) through its Definitive Planning Phase study process.  </w:t>
      </w:r>
    </w:p>
  </w:footnote>
  <w:footnote w:id="6">
    <w:p w14:paraId="16985869" w14:textId="77777777" w:rsidR="008E1EBE" w:rsidRDefault="008E1EBE">
      <w:pPr>
        <w:pStyle w:val="FootnoteText"/>
      </w:pPr>
      <w:r>
        <w:rPr>
          <w:rStyle w:val="FootnoteReference"/>
        </w:rPr>
        <w:footnoteRef/>
      </w:r>
      <w:r>
        <w:tab/>
        <w:t>As discussed above, the total capital cost for this Project, as set forth in my direct testimony, includes approximately $85.9 million in transmission costs, which include both (</w:t>
      </w:r>
      <w:proofErr w:type="spellStart"/>
      <w:r>
        <w:t>i</w:t>
      </w:r>
      <w:proofErr w:type="spellEnd"/>
      <w:r>
        <w:t xml:space="preserve">) costs to interconnect OCAPS to </w:t>
      </w:r>
      <w:proofErr w:type="spellStart"/>
      <w:r>
        <w:t>ETI’s</w:t>
      </w:r>
      <w:proofErr w:type="spellEnd"/>
      <w:r>
        <w:t xml:space="preserve"> system and (ii) costs for additional, future transmission system upgrades.  Mr. Kline addresses transmission costs in his direct testimony.  However, certain other </w:t>
      </w:r>
      <w:proofErr w:type="spellStart"/>
      <w:r>
        <w:t>ETI</w:t>
      </w:r>
      <w:proofErr w:type="spellEnd"/>
      <w:r>
        <w:t xml:space="preserve"> witnesses exclude the future costs for transmission upgrades in the analyses contained in their direct testimonies.  For example, Ms. Lofton excludes the costs for transmission upgrades in her revenue requirement analysis, as those costs will be subject to separate certification proceedings and thus the precise timing and rate impacts of those upgrades are uncertain.       </w:t>
      </w:r>
    </w:p>
  </w:footnote>
  <w:footnote w:id="7">
    <w:p w14:paraId="4B1844C6" w14:textId="77777777" w:rsidR="00274AE7" w:rsidRDefault="00274AE7" w:rsidP="00274AE7">
      <w:pPr>
        <w:pStyle w:val="FootnoteText"/>
      </w:pPr>
      <w:r>
        <w:rPr>
          <w:rStyle w:val="FootnoteReference"/>
        </w:rPr>
        <w:footnoteRef/>
      </w:r>
      <w:r>
        <w:t xml:space="preserve"> </w:t>
      </w:r>
      <w:r>
        <w:tab/>
        <w:t>Spend projections do not include contingency or transmission costs.</w:t>
      </w:r>
    </w:p>
  </w:footnote>
  <w:footnote w:id="8">
    <w:p w14:paraId="1698586B" w14:textId="77777777" w:rsidR="008E1EBE" w:rsidRDefault="008E1EBE">
      <w:pPr>
        <w:pStyle w:val="FootnoteText"/>
      </w:pPr>
      <w:r>
        <w:rPr>
          <w:rStyle w:val="FootnoteReference"/>
        </w:rPr>
        <w:footnoteRef/>
      </w:r>
      <w:r>
        <w:t xml:space="preserve"> </w:t>
      </w:r>
      <w:r>
        <w:tab/>
        <w:t>Direct craft labor refers to craft laborers that are directly involved in the construction of the permanent plant (</w:t>
      </w:r>
      <w:r>
        <w:rPr>
          <w:i/>
        </w:rPr>
        <w:t>i.e</w:t>
      </w:r>
      <w:r>
        <w:t>., pipefitters, welders).  On the other hand, indirect craft labor refers to craft laborers who are indirectly involved in the construction of the permanent plant (</w:t>
      </w:r>
      <w:r>
        <w:rPr>
          <w:i/>
        </w:rPr>
        <w:t>i.e.</w:t>
      </w:r>
      <w:r>
        <w:t xml:space="preserve">, scaffolding, support personnel).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8585D" w14:textId="77777777" w:rsidR="008E1EBE" w:rsidRDefault="008E1EBE">
    <w:pPr>
      <w:pStyle w:val="Header"/>
      <w:tabs>
        <w:tab w:val="clear" w:pos="4320"/>
        <w:tab w:val="clear" w:pos="8640"/>
        <w:tab w:val="center" w:pos="5040"/>
        <w:tab w:val="right" w:pos="9360"/>
      </w:tabs>
      <w:rPr>
        <w:sz w:val="20"/>
      </w:rPr>
    </w:pPr>
  </w:p>
  <w:p w14:paraId="1698585E" w14:textId="77777777" w:rsidR="008E1EBE" w:rsidRDefault="008E1EBE">
    <w:pPr>
      <w:pStyle w:val="Head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8585F" w14:textId="629B5E04" w:rsidR="008E1EBE" w:rsidRDefault="008E1EBE">
    <w:pPr>
      <w:pStyle w:val="Header"/>
      <w:tabs>
        <w:tab w:val="clear" w:pos="4320"/>
        <w:tab w:val="clear" w:pos="8640"/>
        <w:tab w:val="center" w:pos="5040"/>
        <w:tab w:val="right" w:pos="9000"/>
      </w:tabs>
      <w:rPr>
        <w:rFonts w:eastAsia="Calibri"/>
        <w:sz w:val="20"/>
      </w:rPr>
    </w:pPr>
    <w:r>
      <w:rPr>
        <w:rFonts w:eastAsia="Calibri"/>
        <w:sz w:val="20"/>
      </w:rPr>
      <w:t>Entergy Texas, Inc.</w:t>
    </w:r>
    <w:r>
      <w:rPr>
        <w:rFonts w:eastAsia="Calibri"/>
        <w:sz w:val="20"/>
      </w:rPr>
      <w:tab/>
    </w:r>
    <w:r>
      <w:rPr>
        <w:rFonts w:eastAsia="Calibri"/>
        <w:sz w:val="20"/>
      </w:rPr>
      <w:tab/>
      <w:t>PUBLIC REDACTED</w:t>
    </w:r>
  </w:p>
  <w:p w14:paraId="16985860" w14:textId="45C83E04" w:rsidR="008E1EBE" w:rsidRDefault="008E1EBE">
    <w:pPr>
      <w:pStyle w:val="Header"/>
      <w:tabs>
        <w:tab w:val="clear" w:pos="4320"/>
        <w:tab w:val="clear" w:pos="8640"/>
        <w:tab w:val="center" w:pos="5040"/>
        <w:tab w:val="right" w:pos="9000"/>
      </w:tabs>
      <w:rPr>
        <w:sz w:val="20"/>
      </w:rPr>
    </w:pPr>
    <w:r>
      <w:rPr>
        <w:sz w:val="20"/>
      </w:rPr>
      <w:t xml:space="preserve">Direct Testimony of Carlos Ruiz </w:t>
    </w:r>
    <w:r>
      <w:rPr>
        <w:sz w:val="20"/>
      </w:rPr>
      <w:tab/>
    </w:r>
    <w:r>
      <w:rPr>
        <w:sz w:val="20"/>
      </w:rPr>
      <w:tab/>
    </w:r>
  </w:p>
  <w:p w14:paraId="16985861" w14:textId="7765259C" w:rsidR="008E1EBE" w:rsidRDefault="008E1EBE">
    <w:pPr>
      <w:pStyle w:val="Header"/>
      <w:tabs>
        <w:tab w:val="clear" w:pos="4320"/>
        <w:tab w:val="clear" w:pos="8640"/>
        <w:tab w:val="left" w:pos="1980"/>
        <w:tab w:val="center" w:pos="5040"/>
        <w:tab w:val="right" w:pos="9000"/>
      </w:tabs>
      <w:rPr>
        <w:sz w:val="20"/>
      </w:rPr>
    </w:pPr>
    <w:r>
      <w:rPr>
        <w:sz w:val="20"/>
      </w:rPr>
      <w:t>Docket No. 52487</w:t>
    </w:r>
    <w:r>
      <w:rPr>
        <w:sz w:val="20"/>
      </w:rPr>
      <w:tab/>
    </w:r>
    <w:r>
      <w:rPr>
        <w:sz w:val="20"/>
      </w:rPr>
      <w:tab/>
    </w:r>
    <w:r>
      <w:rPr>
        <w:sz w:val="20"/>
      </w:rPr>
      <w:tab/>
    </w:r>
    <w:r>
      <w:rPr>
        <w:rFonts w:eastAsia="Calibri"/>
        <w:sz w:val="20"/>
      </w:rPr>
      <w:t xml:space="preserve">Page </w:t>
    </w:r>
    <w:r>
      <w:rPr>
        <w:rFonts w:eastAsia="Calibri"/>
        <w:sz w:val="20"/>
      </w:rPr>
      <w:fldChar w:fldCharType="begin"/>
    </w:r>
    <w:r>
      <w:rPr>
        <w:rFonts w:eastAsia="Calibri"/>
        <w:sz w:val="20"/>
      </w:rPr>
      <w:instrText xml:space="preserve"> PAGE   \* MERGEFORMAT </w:instrText>
    </w:r>
    <w:r>
      <w:rPr>
        <w:rFonts w:eastAsia="Calibri"/>
        <w:sz w:val="20"/>
      </w:rPr>
      <w:fldChar w:fldCharType="separate"/>
    </w:r>
    <w:r w:rsidR="008814DA">
      <w:rPr>
        <w:rFonts w:eastAsia="Calibri"/>
        <w:noProof/>
        <w:sz w:val="20"/>
      </w:rPr>
      <w:t>8</w:t>
    </w:r>
    <w:r>
      <w:rPr>
        <w:rFonts w:eastAsia="Calibri"/>
        <w:sz w:val="20"/>
      </w:rPr>
      <w:fldChar w:fldCharType="end"/>
    </w:r>
    <w:r>
      <w:rPr>
        <w:rFonts w:eastAsia="Calibri"/>
        <w:sz w:val="20"/>
      </w:rPr>
      <w:t xml:space="preserve"> of </w:t>
    </w:r>
    <w:r>
      <w:rPr>
        <w:rFonts w:eastAsia="Calibri"/>
        <w:sz w:val="20"/>
      </w:rPr>
      <w:fldChar w:fldCharType="begin"/>
    </w:r>
    <w:r>
      <w:rPr>
        <w:rFonts w:eastAsia="Calibri"/>
        <w:sz w:val="20"/>
      </w:rPr>
      <w:instrText xml:space="preserve"> SECTIONPAGES   \* MERGEFORMAT </w:instrText>
    </w:r>
    <w:r>
      <w:rPr>
        <w:rFonts w:eastAsia="Calibri"/>
        <w:sz w:val="20"/>
      </w:rPr>
      <w:fldChar w:fldCharType="separate"/>
    </w:r>
    <w:r w:rsidR="008814DA">
      <w:rPr>
        <w:rFonts w:eastAsia="Calibri"/>
        <w:noProof/>
        <w:sz w:val="20"/>
      </w:rPr>
      <w:t>41</w:t>
    </w:r>
    <w:r>
      <w:rPr>
        <w:rFonts w:eastAsia="Calibri"/>
        <w:sz w:val="20"/>
      </w:rPr>
      <w:fldChar w:fldCharType="end"/>
    </w:r>
  </w:p>
  <w:p w14:paraId="16985862" w14:textId="77777777" w:rsidR="008E1EBE" w:rsidRDefault="008E1EBE">
    <w:pPr>
      <w:pStyle w:val="Header"/>
      <w:rPr>
        <w:sz w:val="20"/>
      </w:rPr>
    </w:pPr>
  </w:p>
  <w:p w14:paraId="16985863" w14:textId="77777777" w:rsidR="008E1EBE" w:rsidRDefault="008E1EBE">
    <w:pPr>
      <w:pStyle w:val="Header"/>
      <w:tabs>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F0B0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A24C7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24A33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3666B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992E5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65E73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9226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3BC71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C1600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82DB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25348"/>
    <w:multiLevelType w:val="hybridMultilevel"/>
    <w:tmpl w:val="F3AA4AE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0A31B2"/>
    <w:multiLevelType w:val="hybridMultilevel"/>
    <w:tmpl w:val="9222C8FE"/>
    <w:lvl w:ilvl="0" w:tplc="D4BEF900">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484820"/>
    <w:multiLevelType w:val="hybridMultilevel"/>
    <w:tmpl w:val="5890FE1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A2817B5"/>
    <w:multiLevelType w:val="singleLevel"/>
    <w:tmpl w:val="CC960B1C"/>
    <w:lvl w:ilvl="0">
      <w:start w:val="1"/>
      <w:numFmt w:val="upperLetter"/>
      <w:lvlText w:val="%1."/>
      <w:lvlJc w:val="left"/>
      <w:pPr>
        <w:tabs>
          <w:tab w:val="num" w:pos="720"/>
        </w:tabs>
        <w:ind w:left="720" w:hanging="720"/>
      </w:pPr>
      <w:rPr>
        <w:b w:val="0"/>
        <w:bCs w:val="0"/>
      </w:rPr>
    </w:lvl>
  </w:abstractNum>
  <w:abstractNum w:abstractNumId="14" w15:restartNumberingAfterBreak="0">
    <w:nsid w:val="1A4E69B0"/>
    <w:multiLevelType w:val="hybridMultilevel"/>
    <w:tmpl w:val="8FBEF6EA"/>
    <w:lvl w:ilvl="0" w:tplc="F962B9D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F873AF"/>
    <w:multiLevelType w:val="hybridMultilevel"/>
    <w:tmpl w:val="BC7440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1C34706"/>
    <w:multiLevelType w:val="hybridMultilevel"/>
    <w:tmpl w:val="F618B9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51761B9"/>
    <w:multiLevelType w:val="hybridMultilevel"/>
    <w:tmpl w:val="C9D443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D216B6"/>
    <w:multiLevelType w:val="hybridMultilevel"/>
    <w:tmpl w:val="A822D0CE"/>
    <w:lvl w:ilvl="0" w:tplc="1D06EE7C">
      <w:start w:val="1"/>
      <w:numFmt w:val="decimal"/>
      <w:pStyle w:val="Question"/>
      <w:lvlText w:val="Q%1."/>
      <w:lvlJc w:val="left"/>
      <w:pPr>
        <w:ind w:left="720" w:hanging="720"/>
      </w:pPr>
      <w:rPr>
        <w:rFonts w:hint="default"/>
        <w:b w:val="0"/>
      </w:rPr>
    </w:lvl>
    <w:lvl w:ilvl="1" w:tplc="04090019">
      <w:start w:val="1"/>
      <w:numFmt w:val="lowerLetter"/>
      <w:lvlText w:val="%2."/>
      <w:lvlJc w:val="left"/>
      <w:pPr>
        <w:ind w:left="540" w:hanging="360"/>
      </w:pPr>
    </w:lvl>
    <w:lvl w:ilvl="2" w:tplc="79BC7EE4">
      <w:start w:val="1"/>
      <w:numFmt w:val="decimal"/>
      <w:lvlText w:val="(%3)"/>
      <w:lvlJc w:val="left"/>
      <w:pPr>
        <w:ind w:left="180" w:hanging="360"/>
      </w:pPr>
      <w:rPr>
        <w:rFonts w:hint="default"/>
      </w:r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15:restartNumberingAfterBreak="0">
    <w:nsid w:val="43803DE0"/>
    <w:multiLevelType w:val="hybridMultilevel"/>
    <w:tmpl w:val="35822BEA"/>
    <w:lvl w:ilvl="0" w:tplc="5C6CF5A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852AB"/>
    <w:multiLevelType w:val="hybridMultilevel"/>
    <w:tmpl w:val="61546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8542D"/>
    <w:multiLevelType w:val="hybridMultilevel"/>
    <w:tmpl w:val="B120CF18"/>
    <w:lvl w:ilvl="0" w:tplc="5AE2286C">
      <w:start w:val="1"/>
      <w:numFmt w:val="upperRoman"/>
      <w:pStyle w:val="Heading1"/>
      <w:lvlText w:val="%1."/>
      <w:lvlJc w:val="right"/>
      <w:pPr>
        <w:tabs>
          <w:tab w:val="num" w:pos="720"/>
        </w:tabs>
        <w:ind w:left="720" w:hanging="720"/>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85CD6"/>
    <w:multiLevelType w:val="hybridMultilevel"/>
    <w:tmpl w:val="63B0C0AE"/>
    <w:lvl w:ilvl="0" w:tplc="9500CE72">
      <w:start w:val="35"/>
      <w:numFmt w:val="decimal"/>
      <w:lvlText w:val="Q%1."/>
      <w:lvlJc w:val="left"/>
      <w:pPr>
        <w:ind w:left="360" w:hanging="360"/>
      </w:pPr>
      <w:rPr>
        <w:rFonts w:ascii="Times New Roman" w:hAnsi="Times New Roman" w:hint="default"/>
        <w:b w:val="0"/>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A3990"/>
    <w:multiLevelType w:val="hybridMultilevel"/>
    <w:tmpl w:val="0F8CD8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04685"/>
    <w:multiLevelType w:val="hybridMultilevel"/>
    <w:tmpl w:val="BCA6E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D64670"/>
    <w:multiLevelType w:val="hybridMultilevel"/>
    <w:tmpl w:val="31227570"/>
    <w:lvl w:ilvl="0" w:tplc="04090001">
      <w:start w:val="1"/>
      <w:numFmt w:val="bullet"/>
      <w:lvlText w:val=""/>
      <w:lvlJc w:val="left"/>
      <w:pPr>
        <w:ind w:left="720" w:hanging="360"/>
      </w:pPr>
      <w:rPr>
        <w:rFonts w:ascii="Symbol" w:hAnsi="Symbol" w:hint="default"/>
      </w:rPr>
    </w:lvl>
    <w:lvl w:ilvl="1" w:tplc="CE9494DE">
      <w:numFmt w:val="bullet"/>
      <w:lvlText w:val="-"/>
      <w:lvlJc w:val="left"/>
      <w:pPr>
        <w:ind w:left="1800" w:hanging="720"/>
      </w:pPr>
      <w:rPr>
        <w:rFonts w:ascii="Calibri" w:eastAsiaTheme="minorHAnsi" w:hAnsi="Calibri" w:cs="Calibri"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140B1"/>
    <w:multiLevelType w:val="hybridMultilevel"/>
    <w:tmpl w:val="239EF0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3"/>
  </w:num>
  <w:num w:numId="3">
    <w:abstractNumId w:val="20"/>
  </w:num>
  <w:num w:numId="4">
    <w:abstractNumId w:val="18"/>
  </w:num>
  <w:num w:numId="5">
    <w:abstractNumId w:val="14"/>
  </w:num>
  <w:num w:numId="6">
    <w:abstractNumId w:val="13"/>
    <w:lvlOverride w:ilvl="0">
      <w:startOverride w:val="1"/>
    </w:lvlOverride>
  </w:num>
  <w:num w:numId="7">
    <w:abstractNumId w:val="10"/>
  </w:num>
  <w:num w:numId="8">
    <w:abstractNumId w:val="16"/>
  </w:num>
  <w:num w:numId="9">
    <w:abstractNumId w:val="24"/>
  </w:num>
  <w:num w:numId="10">
    <w:abstractNumId w:val="17"/>
  </w:num>
  <w:num w:numId="11">
    <w:abstractNumId w:val="22"/>
  </w:num>
  <w:num w:numId="12">
    <w:abstractNumId w:val="11"/>
  </w:num>
  <w:num w:numId="13">
    <w:abstractNumId w:val="11"/>
    <w:lvlOverride w:ilvl="0">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5"/>
  </w:num>
  <w:num w:numId="25">
    <w:abstractNumId w:val="26"/>
  </w:num>
  <w:num w:numId="26">
    <w:abstractNumId w:val="12"/>
  </w:num>
  <w:num w:numId="27">
    <w:abstractNumId w:val="15"/>
  </w:num>
  <w:num w:numId="28">
    <w:abstractNumId w:val="19"/>
  </w:num>
  <w:num w:numId="29">
    <w:abstractNumId w:val="1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584"/>
    <w:rsid w:val="00086F57"/>
    <w:rsid w:val="000E47DD"/>
    <w:rsid w:val="00113217"/>
    <w:rsid w:val="001A2CD9"/>
    <w:rsid w:val="00221F70"/>
    <w:rsid w:val="0022597E"/>
    <w:rsid w:val="00250D91"/>
    <w:rsid w:val="00251B6F"/>
    <w:rsid w:val="00263738"/>
    <w:rsid w:val="00265E97"/>
    <w:rsid w:val="00274AE7"/>
    <w:rsid w:val="003130B7"/>
    <w:rsid w:val="0049268A"/>
    <w:rsid w:val="004C4DBF"/>
    <w:rsid w:val="00572584"/>
    <w:rsid w:val="006D430A"/>
    <w:rsid w:val="006D4598"/>
    <w:rsid w:val="007B59AF"/>
    <w:rsid w:val="00825255"/>
    <w:rsid w:val="008814DA"/>
    <w:rsid w:val="008E1EBE"/>
    <w:rsid w:val="009E794D"/>
    <w:rsid w:val="00A144FE"/>
    <w:rsid w:val="00B14032"/>
    <w:rsid w:val="00BF78DC"/>
    <w:rsid w:val="00C36FD9"/>
    <w:rsid w:val="00D73893"/>
    <w:rsid w:val="00DD6E70"/>
    <w:rsid w:val="00EB6B51"/>
    <w:rsid w:val="00EC4463"/>
    <w:rsid w:val="00EF53BB"/>
    <w:rsid w:val="00F771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98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0"/>
    </w:rPr>
  </w:style>
  <w:style w:type="paragraph" w:styleId="Heading1">
    <w:name w:val="heading 1"/>
    <w:basedOn w:val="Normal"/>
    <w:next w:val="Normal"/>
    <w:link w:val="Heading1Char"/>
    <w:uiPriority w:val="9"/>
    <w:qFormat/>
    <w:pPr>
      <w:keepNext/>
      <w:numPr>
        <w:numId w:val="1"/>
      </w:numPr>
      <w:spacing w:after="240" w:line="240" w:lineRule="auto"/>
      <w:jc w:val="center"/>
      <w:outlineLvl w:val="0"/>
    </w:pPr>
    <w:rPr>
      <w:rFonts w:ascii="Times New Roman Bold" w:eastAsia="Times New Roman" w:hAnsi="Times New Roman Bold" w:cs="Arial"/>
      <w:b/>
      <w:bCs/>
      <w:caps/>
      <w:kern w:val="32"/>
      <w:szCs w:val="32"/>
      <w:u w:val="single"/>
    </w:rPr>
  </w:style>
  <w:style w:type="paragraph" w:styleId="Heading2">
    <w:name w:val="heading 2"/>
    <w:basedOn w:val="Header"/>
    <w:link w:val="Heading2Char"/>
    <w:qFormat/>
    <w:pPr>
      <w:keepNext/>
      <w:numPr>
        <w:numId w:val="12"/>
      </w:numPr>
      <w:spacing w:after="240"/>
      <w:ind w:hanging="720"/>
      <w:jc w:val="center"/>
      <w:outlineLvl w:val="1"/>
    </w:pPr>
    <w:rPr>
      <w:rFonts w:ascii="Times New Roman Bold" w:hAnsi="Times New Roman Bold" w:cs="Arial"/>
      <w:b/>
      <w:bCs/>
      <w:iCs/>
      <w:szCs w:val="28"/>
    </w:rPr>
  </w:style>
  <w:style w:type="paragraph" w:styleId="Heading3">
    <w:name w:val="heading 3"/>
    <w:basedOn w:val="Normal"/>
    <w:next w:val="Normal"/>
    <w:link w:val="Heading3Char"/>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pPr>
      <w:keepNext/>
      <w:jc w:val="center"/>
      <w:outlineLvl w:val="3"/>
    </w:pPr>
    <w:rPr>
      <w:rFonts w:eastAsia="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rFonts w:ascii="Calibri" w:hAnsi="Calibri"/>
      <w:sz w:val="20"/>
      <w:szCs w:val="20"/>
    </w:rPr>
  </w:style>
  <w:style w:type="character" w:styleId="CommentReference">
    <w:name w:val="annotation reference"/>
    <w:basedOn w:val="DefaultParagraphFont"/>
    <w:semiHidden/>
    <w:rPr>
      <w:sz w:val="16"/>
      <w:szCs w:val="16"/>
    </w:rPr>
  </w:style>
  <w:style w:type="paragraph" w:styleId="BalloonText">
    <w:name w:val="Balloon Text"/>
    <w:basedOn w:val="Normal"/>
    <w:link w:val="BalloonTextChar"/>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character" w:customStyle="1" w:styleId="Heading1Char">
    <w:name w:val="Heading 1 Char"/>
    <w:basedOn w:val="DefaultParagraphFont"/>
    <w:link w:val="Heading1"/>
    <w:uiPriority w:val="9"/>
    <w:rPr>
      <w:rFonts w:ascii="Times New Roman Bold" w:eastAsia="Times New Roman" w:hAnsi="Times New Roman Bold" w:cs="Arial"/>
      <w:b/>
      <w:bCs/>
      <w:caps/>
      <w:kern w:val="32"/>
      <w:szCs w:val="32"/>
      <w:u w:val="single"/>
    </w:rPr>
  </w:style>
  <w:style w:type="character" w:customStyle="1" w:styleId="Heading2Char">
    <w:name w:val="Heading 2 Char"/>
    <w:basedOn w:val="DefaultParagraphFont"/>
    <w:link w:val="Heading2"/>
    <w:rPr>
      <w:rFonts w:ascii="Times New Roman Bold" w:eastAsia="Times New Roman" w:hAnsi="Times New Roman Bold" w:cs="Arial"/>
      <w:b/>
      <w:bCs/>
      <w:iCs/>
      <w:szCs w:val="28"/>
    </w:rPr>
  </w:style>
  <w:style w:type="character" w:customStyle="1" w:styleId="Heading3Char">
    <w:name w:val="Heading 3 Char"/>
    <w:basedOn w:val="DefaultParagraphFont"/>
    <w:link w:val="Heading3"/>
    <w:rPr>
      <w:rFonts w:ascii="Arial" w:eastAsia="Times New Roman" w:hAnsi="Arial" w:cs="Arial"/>
      <w:b/>
      <w:bCs/>
      <w:sz w:val="26"/>
      <w:szCs w:val="26"/>
    </w:rPr>
  </w:style>
  <w:style w:type="character" w:customStyle="1" w:styleId="Heading4Char">
    <w:name w:val="Heading 4 Char"/>
    <w:basedOn w:val="DefaultParagraphFont"/>
    <w:link w:val="Heading4"/>
    <w:rPr>
      <w:rFonts w:eastAsia="Times New Roman"/>
      <w:b/>
      <w:szCs w:val="20"/>
    </w:rPr>
  </w:style>
  <w:style w:type="numbering" w:customStyle="1" w:styleId="NoList1">
    <w:name w:val="No List1"/>
    <w:next w:val="NoList"/>
    <w:uiPriority w:val="99"/>
    <w:semiHidden/>
    <w:unhideWhenUsed/>
  </w:style>
  <w:style w:type="numbering" w:customStyle="1" w:styleId="NoList11">
    <w:name w:val="No List11"/>
    <w:next w:val="NoList"/>
    <w:uiPriority w:val="99"/>
    <w:semiHidden/>
    <w:unhideWhenUsed/>
  </w:style>
  <w:style w:type="paragraph" w:styleId="Title">
    <w:name w:val="Title"/>
    <w:basedOn w:val="Normal"/>
    <w:link w:val="TitleChar"/>
    <w:pPr>
      <w:jc w:val="center"/>
    </w:pPr>
    <w:rPr>
      <w:rFonts w:eastAsia="Times New Roman"/>
      <w:b/>
    </w:rPr>
  </w:style>
  <w:style w:type="character" w:customStyle="1" w:styleId="TitleChar">
    <w:name w:val="Title Char"/>
    <w:basedOn w:val="DefaultParagraphFont"/>
    <w:link w:val="Title"/>
    <w:rPr>
      <w:rFonts w:eastAsia="Times New Roman"/>
      <w:b/>
      <w:szCs w:val="20"/>
    </w:rPr>
  </w:style>
  <w:style w:type="table" w:styleId="TableGrid">
    <w:name w:val="Table Grid"/>
    <w:basedOn w:val="TableNormal"/>
    <w:pPr>
      <w:spacing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320"/>
        <w:tab w:val="right" w:pos="8640"/>
      </w:tabs>
      <w:spacing w:line="240" w:lineRule="auto"/>
    </w:pPr>
    <w:rPr>
      <w:rFonts w:eastAsia="Times New Roman"/>
    </w:rPr>
  </w:style>
  <w:style w:type="character" w:customStyle="1" w:styleId="HeaderChar">
    <w:name w:val="Header Char"/>
    <w:basedOn w:val="DefaultParagraphFont"/>
    <w:link w:val="Header"/>
    <w:rPr>
      <w:rFonts w:eastAsia="Times New Roman"/>
      <w:sz w:val="20"/>
      <w:szCs w:val="20"/>
    </w:rPr>
  </w:style>
  <w:style w:type="character" w:styleId="LineNumber">
    <w:name w:val="line number"/>
    <w:basedOn w:val="DefaultParagraphFont"/>
    <w:rPr>
      <w:rFonts w:ascii="Times New Roman" w:hAnsi="Times New Roman"/>
      <w:b w:val="0"/>
      <w:sz w:val="24"/>
    </w:rPr>
  </w:style>
  <w:style w:type="paragraph" w:styleId="BodyText">
    <w:name w:val="Body Text"/>
    <w:basedOn w:val="Normal"/>
    <w:link w:val="BodyTextChar"/>
    <w:pPr>
      <w:jc w:val="both"/>
    </w:pPr>
    <w:rPr>
      <w:rFonts w:eastAsia="Times New Roman"/>
    </w:rPr>
  </w:style>
  <w:style w:type="character" w:customStyle="1" w:styleId="BodyTextChar">
    <w:name w:val="Body Text Char"/>
    <w:basedOn w:val="DefaultParagraphFont"/>
    <w:link w:val="BodyText"/>
    <w:rPr>
      <w:rFonts w:eastAsia="Times New Roman"/>
      <w:szCs w:val="20"/>
    </w:rPr>
  </w:style>
  <w:style w:type="paragraph" w:styleId="Footer">
    <w:name w:val="footer"/>
    <w:basedOn w:val="Normal"/>
    <w:link w:val="FooterChar"/>
    <w:uiPriority w:val="99"/>
    <w:pPr>
      <w:tabs>
        <w:tab w:val="center" w:pos="4320"/>
        <w:tab w:val="right" w:pos="8640"/>
      </w:tabs>
      <w:spacing w:line="240" w:lineRule="auto"/>
    </w:pPr>
    <w:rPr>
      <w:rFonts w:eastAsia="Times New Roman"/>
      <w:szCs w:val="24"/>
    </w:rPr>
  </w:style>
  <w:style w:type="character" w:customStyle="1" w:styleId="FooterChar">
    <w:name w:val="Footer Char"/>
    <w:basedOn w:val="DefaultParagraphFont"/>
    <w:link w:val="Footer"/>
    <w:uiPriority w:val="99"/>
    <w:rPr>
      <w:rFonts w:eastAsia="Times New Roman"/>
    </w:rPr>
  </w:style>
  <w:style w:type="character" w:styleId="PageNumber">
    <w:name w:val="page number"/>
    <w:basedOn w:val="DefaultParagraphFont"/>
  </w:style>
  <w:style w:type="paragraph" w:styleId="FootnoteText">
    <w:name w:val="footnote text"/>
    <w:basedOn w:val="Normal"/>
    <w:link w:val="FootnoteTextChar"/>
    <w:qFormat/>
    <w:pPr>
      <w:spacing w:after="120" w:line="240" w:lineRule="auto"/>
      <w:ind w:left="360" w:hanging="360"/>
      <w:jc w:val="both"/>
    </w:pPr>
    <w:rPr>
      <w:rFonts w:eastAsia="Times New Roman"/>
      <w:sz w:val="20"/>
    </w:rPr>
  </w:style>
  <w:style w:type="character" w:customStyle="1" w:styleId="FootnoteTextChar">
    <w:name w:val="Footnote Text Char"/>
    <w:basedOn w:val="DefaultParagraphFont"/>
    <w:link w:val="FootnoteText"/>
    <w:rPr>
      <w:rFonts w:eastAsia="Times New Roman"/>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strike w:val="0"/>
      <w:dstrike w:val="0"/>
      <w:color w:val="003366"/>
      <w:u w:val="none"/>
      <w:effect w:val="none"/>
    </w:rPr>
  </w:style>
  <w:style w:type="paragraph" w:customStyle="1" w:styleId="1SubHeading">
    <w:name w:val="1SubHeading"/>
    <w:basedOn w:val="Normal"/>
    <w:next w:val="Normal"/>
    <w:link w:val="1SubHeadingChar1"/>
    <w:autoRedefine/>
    <w:pPr>
      <w:spacing w:before="240" w:after="120" w:line="240" w:lineRule="auto"/>
    </w:pPr>
    <w:rPr>
      <w:rFonts w:ascii="Arial" w:eastAsia="Times New Roman" w:hAnsi="Arial"/>
      <w:b/>
      <w:szCs w:val="24"/>
    </w:rPr>
  </w:style>
  <w:style w:type="character" w:customStyle="1" w:styleId="1SubHeadingChar1">
    <w:name w:val="1SubHeading Char1"/>
    <w:basedOn w:val="DefaultParagraphFont"/>
    <w:link w:val="1SubHeading"/>
    <w:rPr>
      <w:rFonts w:ascii="Arial" w:eastAsia="Times New Roman" w:hAnsi="Arial"/>
      <w:b/>
    </w:rPr>
  </w:style>
  <w:style w:type="paragraph" w:styleId="CommentSubject">
    <w:name w:val="annotation subject"/>
    <w:basedOn w:val="CommentText"/>
    <w:next w:val="CommentText"/>
    <w:link w:val="CommentSubjectChar"/>
    <w:semiHidden/>
    <w:rPr>
      <w:rFonts w:eastAsia="Times New Roman"/>
      <w:b/>
      <w:bCs/>
    </w:rPr>
  </w:style>
  <w:style w:type="character" w:customStyle="1" w:styleId="CommentSubjectChar">
    <w:name w:val="Comment Subject Char"/>
    <w:basedOn w:val="CommentTextChar"/>
    <w:link w:val="CommentSubject"/>
    <w:semiHidden/>
    <w:rPr>
      <w:rFonts w:ascii="Calibri" w:eastAsia="Times New Roman" w:hAnsi="Calibri"/>
      <w:b/>
      <w:bCs/>
      <w:sz w:val="20"/>
      <w:szCs w:val="20"/>
    </w:rPr>
  </w:style>
  <w:style w:type="paragraph" w:styleId="TOC1">
    <w:name w:val="toc 1"/>
    <w:basedOn w:val="Normal"/>
    <w:next w:val="Normal"/>
    <w:autoRedefine/>
    <w:uiPriority w:val="39"/>
    <w:pPr>
      <w:tabs>
        <w:tab w:val="left" w:pos="720"/>
        <w:tab w:val="right" w:pos="9360"/>
      </w:tabs>
      <w:spacing w:after="240" w:line="240" w:lineRule="auto"/>
      <w:ind w:left="720" w:right="720" w:hanging="720"/>
    </w:pPr>
    <w:rPr>
      <w:rFonts w:eastAsia="Times New Roman"/>
      <w:noProof/>
      <w:szCs w:val="24"/>
    </w:rPr>
  </w:style>
  <w:style w:type="paragraph" w:styleId="TOC2">
    <w:name w:val="toc 2"/>
    <w:basedOn w:val="Normal"/>
    <w:next w:val="Normal"/>
    <w:autoRedefine/>
    <w:uiPriority w:val="39"/>
    <w:pPr>
      <w:tabs>
        <w:tab w:val="left" w:pos="720"/>
        <w:tab w:val="right" w:pos="9360"/>
      </w:tabs>
      <w:spacing w:after="240" w:line="240" w:lineRule="auto"/>
      <w:ind w:left="1440" w:hanging="720"/>
    </w:pPr>
    <w:rPr>
      <w:rFonts w:eastAsia="Times New Roman"/>
      <w:szCs w:val="24"/>
    </w:rPr>
  </w:style>
  <w:style w:type="table" w:customStyle="1" w:styleId="TableGrid1">
    <w:name w:val="Table Grid1"/>
    <w:basedOn w:val="TableNormal"/>
    <w:next w:val="TableGrid"/>
    <w:uiPriority w:val="59"/>
    <w:pPr>
      <w:spacing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heme="minorEastAsia"/>
      <w:szCs w:val="24"/>
    </w:rPr>
  </w:style>
  <w:style w:type="paragraph" w:styleId="ListParagraph">
    <w:name w:val="List Paragraph"/>
    <w:basedOn w:val="Normal"/>
    <w:uiPriority w:val="34"/>
    <w:pPr>
      <w:ind w:left="720"/>
      <w:contextualSpacing/>
    </w:pPr>
    <w:rPr>
      <w:b/>
    </w:rPr>
  </w:style>
  <w:style w:type="paragraph" w:styleId="Revision">
    <w:name w:val="Revision"/>
    <w:hidden/>
    <w:uiPriority w:val="99"/>
    <w:semiHidden/>
    <w:pPr>
      <w:spacing w:line="240" w:lineRule="auto"/>
    </w:pPr>
    <w:rPr>
      <w:rFonts w:ascii="Calibri" w:hAnsi="Calibri"/>
      <w:b/>
      <w:sz w:val="20"/>
      <w:szCs w:val="20"/>
    </w:rPr>
  </w:style>
  <w:style w:type="paragraph" w:styleId="BodyTextIndent2">
    <w:name w:val="Body Text Indent 2"/>
    <w:basedOn w:val="Normal"/>
    <w:link w:val="BodyTextIndent2Char"/>
    <w:pPr>
      <w:spacing w:after="120"/>
      <w:ind w:left="360"/>
    </w:pPr>
    <w:rPr>
      <w:rFonts w:ascii="Times New (W1)" w:eastAsia="Times New Roman" w:hAnsi="Times New (W1)"/>
      <w:b/>
      <w:szCs w:val="24"/>
    </w:rPr>
  </w:style>
  <w:style w:type="character" w:customStyle="1" w:styleId="BodyTextIndent2Char">
    <w:name w:val="Body Text Indent 2 Char"/>
    <w:basedOn w:val="DefaultParagraphFont"/>
    <w:link w:val="BodyTextIndent2"/>
    <w:rPr>
      <w:rFonts w:ascii="Times New (W1)" w:eastAsia="Times New Roman" w:hAnsi="Times New (W1)"/>
      <w:b/>
    </w:rPr>
  </w:style>
  <w:style w:type="paragraph" w:styleId="TOCHeading">
    <w:name w:val="TOC Heading"/>
    <w:basedOn w:val="Heading1"/>
    <w:next w:val="Normal"/>
    <w:uiPriority w:val="39"/>
    <w:unhideWhenUsed/>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rPr>
  </w:style>
  <w:style w:type="paragraph" w:customStyle="1" w:styleId="Answer">
    <w:name w:val="Answer"/>
    <w:basedOn w:val="Normal"/>
    <w:link w:val="AnswerChar"/>
    <w:qFormat/>
    <w:pPr>
      <w:ind w:left="720" w:hanging="720"/>
      <w:contextualSpacing/>
      <w:jc w:val="both"/>
    </w:pPr>
    <w:rPr>
      <w:rFonts w:eastAsia="Times New Roman"/>
      <w:szCs w:val="24"/>
    </w:rPr>
  </w:style>
  <w:style w:type="character" w:customStyle="1" w:styleId="AnswerChar">
    <w:name w:val="Answer Char"/>
    <w:link w:val="Answer"/>
    <w:rPr>
      <w:rFonts w:eastAsia="Times New Roman"/>
    </w:rPr>
  </w:style>
  <w:style w:type="paragraph" w:customStyle="1" w:styleId="Question">
    <w:name w:val="Question"/>
    <w:basedOn w:val="Normal"/>
    <w:next w:val="Answer"/>
    <w:qFormat/>
    <w:pPr>
      <w:keepNext/>
      <w:numPr>
        <w:numId w:val="29"/>
      </w:numPr>
      <w:contextualSpacing/>
      <w:jc w:val="both"/>
    </w:pPr>
    <w:rPr>
      <w:rFonts w:eastAsia="Times New Roman"/>
      <w:caps/>
      <w:szCs w:val="24"/>
    </w:rPr>
  </w:style>
  <w:style w:type="paragraph" w:customStyle="1" w:styleId="Answer2">
    <w:name w:val="Answer 2"/>
    <w:basedOn w:val="Answer"/>
    <w:next w:val="Answer"/>
    <w:qFormat/>
    <w:pPr>
      <w:ind w:firstLine="720"/>
    </w:pPr>
  </w:style>
  <w:style w:type="paragraph" w:customStyle="1" w:styleId="TableHeading">
    <w:name w:val="Table Heading"/>
    <w:basedOn w:val="Normal"/>
    <w:qFormat/>
    <w:pPr>
      <w:keepNext/>
      <w:spacing w:after="240" w:line="240" w:lineRule="auto"/>
      <w:jc w:val="center"/>
      <w:outlineLvl w:val="4"/>
    </w:pPr>
    <w:rPr>
      <w:b/>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findhit">
    <w:name w:val="findhit"/>
    <w:basedOn w:val="DefaultParagraphFont"/>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 w:type="character" w:customStyle="1" w:styleId="UnresolvedMention4">
    <w:name w:val="Unresolved Mention4"/>
    <w:basedOn w:val="DefaultParagraphFont"/>
    <w:uiPriority w:val="99"/>
    <w:unhideWhenUsed/>
    <w:rPr>
      <w:color w:val="605E5C"/>
      <w:shd w:val="clear" w:color="auto" w:fill="E1DFDD"/>
    </w:rPr>
  </w:style>
  <w:style w:type="character" w:customStyle="1" w:styleId="Mention4">
    <w:name w:val="Mention4"/>
    <w:basedOn w:val="DefaultParagraphFont"/>
    <w:uiPriority w:val="99"/>
    <w:unhideWhenUsed/>
    <w:rPr>
      <w:color w:val="2B579A"/>
      <w:shd w:val="clear" w:color="auto" w:fill="E1DFDD"/>
    </w:rPr>
  </w:style>
  <w:style w:type="character" w:customStyle="1" w:styleId="UnresolvedMention40">
    <w:name w:val="Unresolved Mention4"/>
    <w:basedOn w:val="DefaultParagraphFont"/>
    <w:uiPriority w:val="99"/>
    <w:unhideWhenUsed/>
    <w:rPr>
      <w:color w:val="605E5C"/>
      <w:shd w:val="clear" w:color="auto" w:fill="E1DFDD"/>
    </w:rPr>
  </w:style>
  <w:style w:type="character" w:customStyle="1" w:styleId="Mention40">
    <w:name w:val="Mention4"/>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05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AB526-A874-4DD8-8151-E00D6D994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9121</Words>
  <Characters>51993</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60993</CharactersWithSpaces>
  <SharedDoc>false</SharedDoc>
  <HLinks>
    <vt:vector size="24" baseType="variant">
      <vt:variant>
        <vt:i4>1703996</vt:i4>
      </vt:variant>
      <vt:variant>
        <vt:i4>9</vt:i4>
      </vt:variant>
      <vt:variant>
        <vt:i4>0</vt:i4>
      </vt:variant>
      <vt:variant>
        <vt:i4>5</vt:i4>
      </vt:variant>
      <vt:variant>
        <vt:lpwstr>mailto:cruiz@entergy.com</vt:lpwstr>
      </vt:variant>
      <vt:variant>
        <vt:lpwstr/>
      </vt:variant>
      <vt:variant>
        <vt:i4>1703996</vt:i4>
      </vt:variant>
      <vt:variant>
        <vt:i4>6</vt:i4>
      </vt:variant>
      <vt:variant>
        <vt:i4>0</vt:i4>
      </vt:variant>
      <vt:variant>
        <vt:i4>5</vt:i4>
      </vt:variant>
      <vt:variant>
        <vt:lpwstr>mailto:cruiz@entergy.com</vt:lpwstr>
      </vt:variant>
      <vt:variant>
        <vt:lpwstr/>
      </vt:variant>
      <vt:variant>
        <vt:i4>6881364</vt:i4>
      </vt:variant>
      <vt:variant>
        <vt:i4>3</vt:i4>
      </vt:variant>
      <vt:variant>
        <vt:i4>0</vt:i4>
      </vt:variant>
      <vt:variant>
        <vt:i4>5</vt:i4>
      </vt:variant>
      <vt:variant>
        <vt:lpwstr>mailto:dkline@entergy.com</vt:lpwstr>
      </vt:variant>
      <vt:variant>
        <vt:lpwstr/>
      </vt:variant>
      <vt:variant>
        <vt:i4>1703996</vt:i4>
      </vt:variant>
      <vt:variant>
        <vt:i4>0</vt:i4>
      </vt:variant>
      <vt:variant>
        <vt:i4>0</vt:i4>
      </vt:variant>
      <vt:variant>
        <vt:i4>5</vt:i4>
      </vt:variant>
      <vt:variant>
        <vt:lpwstr>mailto:cruiz@entergy.com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2021-09-13T22:01:00Z</dcterms:created>
  <dcterms:modified xsi:type="dcterms:W3CDTF">2021-09-15T03:25:00Z</dcterms:modified>
</cp:coreProperties>
</file>